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240" w:right="-177"/>
        <w:jc w:val="center"/>
        <w:rPr>
          <w:rFonts w:ascii="Calibri" w:hAnsi="Calibri" w:cs="SegoeUI-Bold"/>
          <w:b/>
          <w:sz w:val="32"/>
          <w:szCs w:val="32"/>
        </w:rPr>
      </w:pPr>
      <w:r>
        <w:rPr>
          <w:rFonts w:ascii="SegoeUI" w:hAnsi="SegoeUI" w:cs="SegoeUI"/>
          <w:noProof/>
          <w:sz w:val="22"/>
          <w:szCs w:val="22"/>
          <w:lang w:val="fr-BE" w:eastAsia="fr-BE"/>
        </w:rPr>
        <w:drawing>
          <wp:anchor distT="0" distB="0" distL="114300" distR="114300" simplePos="0" relativeHeight="251658240" behindDoc="1" locked="0" layoutInCell="1" allowOverlap="1">
            <wp:simplePos x="0" y="0"/>
            <wp:positionH relativeFrom="column">
              <wp:posOffset>99695</wp:posOffset>
            </wp:positionH>
            <wp:positionV relativeFrom="paragraph">
              <wp:posOffset>-728980</wp:posOffset>
            </wp:positionV>
            <wp:extent cx="866775" cy="8667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WB.png"/>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SegoeUI-Bold"/>
          <w:b/>
          <w:sz w:val="32"/>
          <w:szCs w:val="32"/>
        </w:rPr>
        <w:t>Prix du mémoire en éducation</w:t>
      </w:r>
    </w:p>
    <w:p>
      <w:pPr>
        <w:ind w:left="-240" w:right="-177"/>
        <w:jc w:val="center"/>
        <w:rPr>
          <w:rFonts w:ascii="Calibri" w:hAnsi="Calibri" w:cs="SegoeUI-Bold"/>
          <w:b/>
          <w:sz w:val="32"/>
          <w:szCs w:val="32"/>
        </w:rPr>
      </w:pPr>
    </w:p>
    <w:p>
      <w:pPr>
        <w:ind w:left="-240" w:right="-177"/>
        <w:jc w:val="center"/>
        <w:rPr>
          <w:rFonts w:ascii="Calibri" w:hAnsi="Calibri" w:cs="SegoeUI-Bold"/>
          <w:b/>
          <w:sz w:val="32"/>
          <w:szCs w:val="32"/>
        </w:rPr>
      </w:pPr>
      <w:proofErr w:type="gramStart"/>
      <w:r>
        <w:rPr>
          <w:rFonts w:ascii="Calibri" w:hAnsi="Calibri" w:cs="SegoeUI-Bold"/>
          <w:b/>
          <w:sz w:val="32"/>
          <w:szCs w:val="32"/>
        </w:rPr>
        <w:t>de</w:t>
      </w:r>
      <w:proofErr w:type="gramEnd"/>
      <w:r>
        <w:rPr>
          <w:rFonts w:ascii="Calibri" w:hAnsi="Calibri" w:cs="SegoeUI-Bold"/>
          <w:b/>
          <w:sz w:val="32"/>
          <w:szCs w:val="32"/>
        </w:rPr>
        <w:t xml:space="preserve"> la Fédération Wallonie-Bruxelles</w:t>
      </w:r>
      <w:r>
        <w:rPr>
          <w:rStyle w:val="Appelnotedebasdep"/>
          <w:rFonts w:ascii="Calibri" w:hAnsi="Calibri"/>
          <w:b/>
          <w:sz w:val="32"/>
          <w:szCs w:val="32"/>
        </w:rPr>
        <w:footnoteReference w:id="1"/>
      </w:r>
    </w:p>
    <w:p>
      <w:pPr>
        <w:pBdr>
          <w:bottom w:val="single" w:sz="4" w:space="1" w:color="auto"/>
        </w:pBdr>
        <w:tabs>
          <w:tab w:val="left" w:pos="552"/>
          <w:tab w:val="center" w:pos="3600"/>
        </w:tabs>
        <w:autoSpaceDE w:val="0"/>
        <w:autoSpaceDN w:val="0"/>
        <w:adjustRightInd w:val="0"/>
        <w:ind w:left="-240" w:right="-177" w:firstLine="119"/>
        <w:jc w:val="center"/>
        <w:rPr>
          <w:rFonts w:ascii="SegoeUI" w:hAnsi="SegoeUI" w:cs="SegoeUI"/>
          <w:sz w:val="22"/>
          <w:szCs w:val="22"/>
        </w:rPr>
      </w:pPr>
    </w:p>
    <w:p>
      <w:pPr>
        <w:tabs>
          <w:tab w:val="left" w:pos="552"/>
          <w:tab w:val="center" w:pos="3600"/>
        </w:tabs>
        <w:autoSpaceDE w:val="0"/>
        <w:autoSpaceDN w:val="0"/>
        <w:adjustRightInd w:val="0"/>
        <w:ind w:left="-240" w:right="-177" w:firstLine="119"/>
        <w:jc w:val="center"/>
        <w:rPr>
          <w:rFonts w:ascii="SegoeUI" w:hAnsi="SegoeUI" w:cs="SegoeUI"/>
          <w:sz w:val="22"/>
          <w:szCs w:val="22"/>
        </w:rPr>
      </w:pPr>
    </w:p>
    <w:p>
      <w:pPr>
        <w:tabs>
          <w:tab w:val="left" w:pos="552"/>
          <w:tab w:val="center" w:pos="3600"/>
        </w:tabs>
        <w:autoSpaceDE w:val="0"/>
        <w:autoSpaceDN w:val="0"/>
        <w:adjustRightInd w:val="0"/>
        <w:ind w:left="-240" w:right="-177" w:firstLine="119"/>
        <w:jc w:val="center"/>
        <w:rPr>
          <w:rFonts w:ascii="SegoeUI" w:hAnsi="SegoeUI" w:cs="SegoeUI"/>
          <w:sz w:val="22"/>
          <w:szCs w:val="22"/>
        </w:rPr>
      </w:pPr>
    </w:p>
    <w:p>
      <w:pPr>
        <w:tabs>
          <w:tab w:val="left" w:pos="552"/>
          <w:tab w:val="center" w:pos="3600"/>
        </w:tabs>
        <w:autoSpaceDE w:val="0"/>
        <w:autoSpaceDN w:val="0"/>
        <w:adjustRightInd w:val="0"/>
        <w:ind w:left="-240" w:right="-177" w:firstLine="119"/>
        <w:jc w:val="center"/>
        <w:rPr>
          <w:rFonts w:ascii="SegoeUI" w:hAnsi="SegoeUI" w:cs="SegoeUI"/>
          <w:sz w:val="22"/>
          <w:szCs w:val="22"/>
        </w:rPr>
      </w:pPr>
    </w:p>
    <w:p>
      <w:pPr>
        <w:autoSpaceDE w:val="0"/>
        <w:autoSpaceDN w:val="0"/>
        <w:adjustRightInd w:val="0"/>
        <w:spacing w:before="120"/>
        <w:ind w:right="-119"/>
        <w:jc w:val="center"/>
        <w:rPr>
          <w:rFonts w:ascii="Calibri" w:hAnsi="Calibri" w:cs="Courier New"/>
          <w:b/>
        </w:rPr>
      </w:pPr>
      <w:r>
        <w:rPr>
          <w:rFonts w:ascii="Calibri" w:hAnsi="Calibri" w:cs="Courier New"/>
          <w:b/>
        </w:rPr>
        <w:t>RÈGLEMENT</w:t>
      </w:r>
    </w:p>
    <w:p>
      <w:pPr>
        <w:autoSpaceDE w:val="0"/>
        <w:autoSpaceDN w:val="0"/>
        <w:adjustRightInd w:val="0"/>
        <w:ind w:right="-120"/>
        <w:jc w:val="both"/>
        <w:rPr>
          <w:rFonts w:ascii="Calibri" w:hAnsi="Calibri" w:cs="Courier New"/>
        </w:rPr>
      </w:pPr>
    </w:p>
    <w:p>
      <w:pPr>
        <w:autoSpaceDE w:val="0"/>
        <w:autoSpaceDN w:val="0"/>
        <w:adjustRightInd w:val="0"/>
        <w:ind w:right="-120"/>
        <w:jc w:val="both"/>
        <w:rPr>
          <w:rFonts w:ascii="Calibri" w:hAnsi="Calibri" w:cs="Courier New"/>
        </w:rPr>
      </w:pPr>
    </w:p>
    <w:p>
      <w:pPr>
        <w:autoSpaceDE w:val="0"/>
        <w:autoSpaceDN w:val="0"/>
        <w:adjustRightInd w:val="0"/>
        <w:ind w:right="-120"/>
        <w:jc w:val="both"/>
        <w:rPr>
          <w:rFonts w:ascii="Calibri" w:hAnsi="Calibri" w:cs="Courier New"/>
          <w:b/>
        </w:rPr>
      </w:pPr>
      <w:r>
        <w:rPr>
          <w:rFonts w:ascii="Calibri" w:hAnsi="Calibri" w:cs="Courier New"/>
        </w:rPr>
        <w:t xml:space="preserve">L’Administration générale de l’Enseignement (AGE) crée un prix du mémoire en éducation dont le règlement est le suivant : </w:t>
      </w:r>
    </w:p>
    <w:p>
      <w:pPr>
        <w:autoSpaceDE w:val="0"/>
        <w:autoSpaceDN w:val="0"/>
        <w:adjustRightInd w:val="0"/>
        <w:ind w:right="-119"/>
        <w:jc w:val="both"/>
        <w:rPr>
          <w:rFonts w:ascii="Calibri" w:hAnsi="Calibri" w:cs="Courier New"/>
        </w:rPr>
      </w:pPr>
    </w:p>
    <w:p>
      <w:pPr>
        <w:autoSpaceDE w:val="0"/>
        <w:autoSpaceDN w:val="0"/>
        <w:adjustRightInd w:val="0"/>
        <w:ind w:right="-119"/>
        <w:jc w:val="both"/>
        <w:rPr>
          <w:rFonts w:ascii="Calibri" w:hAnsi="Calibri" w:cs="Courier New"/>
        </w:rPr>
      </w:pPr>
    </w:p>
    <w:p>
      <w:pPr>
        <w:autoSpaceDE w:val="0"/>
        <w:autoSpaceDN w:val="0"/>
        <w:adjustRightInd w:val="0"/>
        <w:jc w:val="center"/>
        <w:rPr>
          <w:rFonts w:ascii="Calibri" w:hAnsi="Calibri" w:cs="Courier New"/>
          <w:b/>
        </w:rPr>
      </w:pPr>
      <w:r>
        <w:rPr>
          <w:rFonts w:ascii="Calibri" w:hAnsi="Calibri" w:cs="Courier New"/>
          <w:b/>
        </w:rPr>
        <w:t xml:space="preserve">Chapitre premier : </w:t>
      </w:r>
    </w:p>
    <w:p>
      <w:pPr>
        <w:autoSpaceDE w:val="0"/>
        <w:autoSpaceDN w:val="0"/>
        <w:adjustRightInd w:val="0"/>
        <w:jc w:val="center"/>
        <w:rPr>
          <w:rFonts w:ascii="Calibri" w:hAnsi="Calibri" w:cs="Courier New"/>
        </w:rPr>
      </w:pPr>
      <w:r>
        <w:rPr>
          <w:rFonts w:ascii="Calibri" w:hAnsi="Calibri" w:cs="Courier New"/>
          <w:b/>
        </w:rPr>
        <w:t>objet, montant, périodicité et publicité</w:t>
      </w:r>
    </w:p>
    <w:p>
      <w:pPr>
        <w:autoSpaceDE w:val="0"/>
        <w:autoSpaceDN w:val="0"/>
        <w:adjustRightInd w:val="0"/>
        <w:jc w:val="both"/>
        <w:rPr>
          <w:rFonts w:ascii="Calibri" w:hAnsi="Calibri" w:cs="Courier New"/>
        </w:rPr>
      </w:pPr>
    </w:p>
    <w:p>
      <w:pPr>
        <w:autoSpaceDE w:val="0"/>
        <w:autoSpaceDN w:val="0"/>
        <w:adjustRightInd w:val="0"/>
        <w:jc w:val="both"/>
        <w:rPr>
          <w:rFonts w:ascii="Calibri" w:hAnsi="Calibri" w:cs="Courier New"/>
          <w:b/>
        </w:rPr>
      </w:pPr>
      <w:r>
        <w:rPr>
          <w:rFonts w:ascii="Calibri" w:hAnsi="Calibri" w:cs="Courier New"/>
          <w:b/>
        </w:rPr>
        <w:t xml:space="preserve">Article 1er : objet </w:t>
      </w:r>
    </w:p>
    <w:p>
      <w:pPr>
        <w:autoSpaceDE w:val="0"/>
        <w:autoSpaceDN w:val="0"/>
        <w:adjustRightInd w:val="0"/>
        <w:jc w:val="both"/>
        <w:rPr>
          <w:rFonts w:ascii="Calibri" w:hAnsi="Calibri" w:cs="Courier New"/>
          <w:b/>
        </w:rPr>
      </w:pPr>
      <w:r>
        <w:rPr>
          <w:rFonts w:ascii="Calibri" w:hAnsi="Calibri" w:cs="Courier New"/>
        </w:rPr>
        <w:tab/>
      </w:r>
    </w:p>
    <w:p>
      <w:pPr>
        <w:pStyle w:val="Notedebasdepage"/>
        <w:jc w:val="both"/>
        <w:rPr>
          <w:rFonts w:ascii="Calibri" w:hAnsi="Calibri"/>
          <w:sz w:val="24"/>
          <w:lang w:val="fr-BE"/>
        </w:rPr>
      </w:pPr>
      <w:r>
        <w:rPr>
          <w:rFonts w:ascii="Calibri" w:hAnsi="Calibri" w:cs="Courier New"/>
          <w:b/>
          <w:sz w:val="24"/>
        </w:rPr>
        <w:t>§1  –</w:t>
      </w:r>
      <w:r>
        <w:rPr>
          <w:rFonts w:ascii="Calibri" w:hAnsi="Calibri" w:cs="Courier New"/>
          <w:sz w:val="24"/>
        </w:rPr>
        <w:t xml:space="preserve"> Sur la base d’un appel public à participation, le prix du mémoire  en éducation est décerné via un concours. Il vise à récompenser un travail de fin d’études supérieures (mémoire/TFE), rédigé en langue française, qui apporte </w:t>
      </w:r>
      <w:r>
        <w:rPr>
          <w:rFonts w:ascii="Calibri" w:hAnsi="Calibri" w:cs="Courier New"/>
          <w:b/>
          <w:sz w:val="24"/>
        </w:rPr>
        <w:t>une contribution pertinente et originale à l’étude des politiques éducatives et des pédagogies de l’enseignement obligatoire (ordinaire et/ou spécialisé) et de l’enseignement supérieur en  Fédération Wallonie-Bruxelles.</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rPr>
      </w:pPr>
      <w:r>
        <w:rPr>
          <w:rFonts w:ascii="Calibri" w:hAnsi="Calibri" w:cs="Courier New"/>
          <w:b/>
        </w:rPr>
        <w:t>§2  – Le prix du mémoire en éducation  s’adresse aux étudiantes  et étudiants ayant réalisé un master à finalité didactique, quelle que soit la discipline, et à celles et ceux des Universités, des Hautes Ecoles et des Ecoles supérieures des arts qui ont  prioritairement, mais non exclusivement,  réalisé un cursus en lien avec :  </w:t>
      </w:r>
    </w:p>
    <w:p>
      <w:pPr>
        <w:autoSpaceDE w:val="0"/>
        <w:autoSpaceDN w:val="0"/>
        <w:adjustRightInd w:val="0"/>
        <w:jc w:val="both"/>
        <w:rPr>
          <w:rFonts w:ascii="Calibri" w:hAnsi="Calibri" w:cs="Courier New"/>
          <w:b/>
        </w:rPr>
      </w:pPr>
    </w:p>
    <w:p>
      <w:pPr>
        <w:pStyle w:val="NormalWeb"/>
        <w:jc w:val="both"/>
        <w:rPr>
          <w:rFonts w:ascii="Calibri" w:hAnsi="Calibri" w:cs="Calibri"/>
          <w:color w:val="000000"/>
        </w:rPr>
      </w:pPr>
      <w:r>
        <w:rPr>
          <w:rFonts w:ascii="Calibri" w:hAnsi="Calibri" w:cs="Calibri"/>
          <w:color w:val="000000"/>
        </w:rPr>
        <w:t>-          des sciences psychologiques ;</w:t>
      </w:r>
    </w:p>
    <w:p>
      <w:pPr>
        <w:pStyle w:val="NormalWeb"/>
        <w:jc w:val="both"/>
        <w:rPr>
          <w:rFonts w:ascii="Calibri" w:hAnsi="Calibri" w:cs="Calibri"/>
          <w:color w:val="000000"/>
        </w:rPr>
      </w:pPr>
      <w:r>
        <w:rPr>
          <w:rFonts w:ascii="Calibri" w:hAnsi="Calibri" w:cs="Calibri"/>
          <w:color w:val="000000"/>
        </w:rPr>
        <w:t>-          des sciences de l’éducation et de la pédagogie ;</w:t>
      </w:r>
    </w:p>
    <w:p>
      <w:pPr>
        <w:pStyle w:val="NormalWeb"/>
        <w:jc w:val="both"/>
        <w:rPr>
          <w:rFonts w:ascii="Calibri" w:hAnsi="Calibri" w:cs="Calibri"/>
          <w:color w:val="000000"/>
        </w:rPr>
      </w:pPr>
      <w:r>
        <w:rPr>
          <w:rFonts w:ascii="Calibri" w:hAnsi="Calibri" w:cs="Calibri"/>
          <w:color w:val="000000"/>
        </w:rPr>
        <w:t>-          de la logopédie ;</w:t>
      </w:r>
    </w:p>
    <w:p>
      <w:pPr>
        <w:pStyle w:val="NormalWeb"/>
        <w:jc w:val="both"/>
        <w:rPr>
          <w:rFonts w:ascii="Calibri" w:hAnsi="Calibri" w:cs="Calibri"/>
          <w:color w:val="000000"/>
        </w:rPr>
      </w:pPr>
      <w:r>
        <w:rPr>
          <w:rFonts w:ascii="Calibri" w:hAnsi="Calibri" w:cs="Calibri"/>
          <w:color w:val="000000"/>
        </w:rPr>
        <w:t>-          de la sociologie ;</w:t>
      </w:r>
    </w:p>
    <w:p>
      <w:pPr>
        <w:autoSpaceDE w:val="0"/>
        <w:autoSpaceDN w:val="0"/>
        <w:adjustRightInd w:val="0"/>
        <w:jc w:val="both"/>
        <w:rPr>
          <w:rFonts w:ascii="Calibri" w:hAnsi="Calibri" w:cs="Courier New"/>
          <w:szCs w:val="20"/>
        </w:rPr>
      </w:pPr>
      <w:r>
        <w:rPr>
          <w:rFonts w:ascii="Calibri" w:hAnsi="Calibri" w:cs="Calibri"/>
          <w:color w:val="000000"/>
        </w:rPr>
        <w:t>-          de la communication et des arts du spectacle. </w:t>
      </w:r>
    </w:p>
    <w:p>
      <w:pPr>
        <w:autoSpaceDE w:val="0"/>
        <w:autoSpaceDN w:val="0"/>
        <w:adjustRightInd w:val="0"/>
        <w:jc w:val="both"/>
        <w:rPr>
          <w:rFonts w:ascii="Calibri" w:hAnsi="Calibri" w:cs="Courier New"/>
          <w:szCs w:val="20"/>
        </w:rPr>
      </w:pPr>
    </w:p>
    <w:p>
      <w:pPr>
        <w:autoSpaceDE w:val="0"/>
        <w:autoSpaceDN w:val="0"/>
        <w:adjustRightInd w:val="0"/>
        <w:ind w:left="36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rPr>
        <w:t xml:space="preserve"> §3 </w:t>
      </w:r>
      <w:r>
        <w:rPr>
          <w:rFonts w:ascii="Calibri" w:hAnsi="Calibri" w:cs="Courier New"/>
          <w:szCs w:val="20"/>
        </w:rPr>
        <w:t xml:space="preserve">La problématique développée dans le travail peut être étudiée à partir de différentes approches éventuellement combinées : didactique, historique, philosophique, économique, psychologique, médicale, sociologique, etc.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trike/>
          <w:szCs w:val="20"/>
        </w:rPr>
      </w:pPr>
      <w:r>
        <w:rPr>
          <w:rFonts w:ascii="Calibri" w:hAnsi="Calibri" w:cs="Courier New"/>
          <w:szCs w:val="20"/>
        </w:rPr>
        <w:t xml:space="preserve"> </w:t>
      </w:r>
      <w:r>
        <w:rPr>
          <w:rFonts w:ascii="Calibri" w:hAnsi="Calibri" w:cs="Courier New"/>
          <w:b/>
        </w:rPr>
        <w:t xml:space="preserve">§4 </w:t>
      </w:r>
      <w:r>
        <w:rPr>
          <w:rFonts w:ascii="Calibri" w:hAnsi="Calibri" w:cs="Courier New"/>
          <w:szCs w:val="20"/>
        </w:rPr>
        <w:t xml:space="preserve"> </w:t>
      </w:r>
      <w:r>
        <w:rPr>
          <w:rFonts w:ascii="Calibri" w:hAnsi="Calibri" w:cs="Courier New"/>
          <w:b/>
        </w:rPr>
        <w:t>–</w:t>
      </w:r>
      <w:r>
        <w:rPr>
          <w:rFonts w:ascii="Calibri" w:hAnsi="Calibri" w:cs="Courier New"/>
        </w:rPr>
        <w:t xml:space="preserve"> </w:t>
      </w:r>
      <w:r>
        <w:rPr>
          <w:rFonts w:ascii="Calibri" w:hAnsi="Calibri" w:cs="Courier New"/>
          <w:szCs w:val="20"/>
        </w:rPr>
        <w:t>Lorsque le travail porte sur une politique, sur une situation ou sur une pratique observée</w:t>
      </w:r>
      <w:r>
        <w:rPr>
          <w:rFonts w:ascii="Calibri" w:hAnsi="Calibri" w:cs="Courier New"/>
          <w:strike/>
          <w:szCs w:val="20"/>
        </w:rPr>
        <w:t xml:space="preserve"> </w:t>
      </w:r>
      <w:r>
        <w:rPr>
          <w:rFonts w:ascii="Calibri" w:hAnsi="Calibri" w:cs="Courier New"/>
          <w:szCs w:val="20"/>
        </w:rPr>
        <w:t xml:space="preserve">en dehors de la Wallonie ou de Bruxelles, il doit démontrer explicitement et de manière </w:t>
      </w:r>
      <w:r>
        <w:rPr>
          <w:rFonts w:ascii="Calibri" w:hAnsi="Calibri" w:cs="Courier New"/>
          <w:szCs w:val="20"/>
        </w:rPr>
        <w:lastRenderedPageBreak/>
        <w:t>argumentée la transférabilité des acquis de son analyse au bénéfice du système éducatif en Fédération Wallonie-Bruxelles.</w:t>
      </w:r>
      <w:r>
        <w:rPr>
          <w:rFonts w:ascii="Calibri" w:hAnsi="Calibri" w:cs="Courier New"/>
          <w:strike/>
          <w:szCs w:val="20"/>
        </w:rPr>
        <w:t xml:space="preserve">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Article 2 –  Montant et périodicité</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Le prix, d’une valeur de 1 000 (mille) euros, est décerné tous les ans.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 xml:space="preserve">§2 – </w:t>
      </w:r>
      <w:r>
        <w:rPr>
          <w:rFonts w:ascii="Calibri" w:hAnsi="Calibri" w:cs="Courier New"/>
          <w:szCs w:val="20"/>
        </w:rPr>
        <w:t xml:space="preserve">Pour un mémoire ou travail de fin d’études présenté dans le cadre du concours, le prix ne peut être accordé qu’une seule fois.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§3  –</w:t>
      </w:r>
      <w:r>
        <w:rPr>
          <w:rFonts w:ascii="Calibri" w:hAnsi="Calibri" w:cs="Courier New"/>
          <w:szCs w:val="20"/>
        </w:rPr>
        <w:t xml:space="preserve">  Si les travaux présentés lors d’une édition ne rencontrent pas de manière satisfaisante les critères d’attribution, le Jury se réserve le droit de ne pas attribuer de prix cette année-là.</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 xml:space="preserve">Article 3 – Publicité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L’AGE assure la promotion du prix du mémoire en éducation.</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Une lettre d’information adressée par courriel ou par courrier postal aux Autorités académiques des Universités, des Hautes Ecoles et des Ecoles supérieures des Arts , sous forme de mail ou de courrier postal, par l’Administratrice générale de l’Enseignement, les invite à diffuser l’information à l’ensemble des personnes concernées.  </w:t>
      </w:r>
    </w:p>
    <w:p>
      <w:pPr>
        <w:autoSpaceDE w:val="0"/>
        <w:autoSpaceDN w:val="0"/>
        <w:adjustRightInd w:val="0"/>
        <w:jc w:val="both"/>
        <w:rPr>
          <w:rFonts w:ascii="Calibri" w:hAnsi="Calibri" w:cs="Courier New"/>
          <w:szCs w:val="20"/>
        </w:rPr>
      </w:pPr>
    </w:p>
    <w:p>
      <w:pPr>
        <w:jc w:val="both"/>
        <w:rPr>
          <w:rFonts w:ascii="Calibri" w:hAnsi="Calibri" w:cs="Courier New"/>
          <w:szCs w:val="20"/>
        </w:rPr>
      </w:pPr>
      <w:r>
        <w:rPr>
          <w:rFonts w:ascii="Calibri" w:hAnsi="Calibri" w:cs="Courier New"/>
          <w:szCs w:val="20"/>
        </w:rPr>
        <w:t>L’appel à candidatures est également annoncé sur le site internet de l’Administration générale de l’Enseignement : www.enseignement.be  ainsi que sur le site de la Fédération Wallonie-Bruxelles (</w:t>
      </w:r>
      <w:hyperlink r:id="rId9" w:history="1">
        <w:r>
          <w:rPr>
            <w:rFonts w:ascii="Calibri" w:hAnsi="Calibri" w:cs="Courier New"/>
            <w:szCs w:val="20"/>
          </w:rPr>
          <w:t>www.federation-wallonie-bruxelles.be</w:t>
        </w:r>
      </w:hyperlink>
      <w:r>
        <w:rPr>
          <w:rFonts w:ascii="Calibri" w:hAnsi="Calibri" w:cs="Courier New"/>
          <w:szCs w:val="20"/>
        </w:rPr>
        <w:t>).</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Le prix est décerné lors d’une séance publique. À cette occasion, le lauréat ou la lauréate réalise  une communication du travail primé. Dans le mois qui suit la cérémonie de remise du prix, il ou elle fournit aux services de l’AGE le texte de sa communication, conformément aux normes techniques qui permettent sa mise en ligne sur le site </w:t>
      </w:r>
      <w:hyperlink r:id="rId10" w:history="1">
        <w:r>
          <w:rPr>
            <w:rStyle w:val="Lienhypertexte"/>
            <w:rFonts w:ascii="Calibri" w:hAnsi="Calibri" w:cs="Courier New"/>
            <w:color w:val="auto"/>
            <w:szCs w:val="20"/>
          </w:rPr>
          <w:t>www.enseignement.be</w:t>
        </w:r>
      </w:hyperlink>
      <w:r>
        <w:rPr>
          <w:rFonts w:ascii="Calibri" w:hAnsi="Calibri" w:cs="Courier New"/>
          <w:szCs w:val="20"/>
        </w:rPr>
        <w:t>.</w:t>
      </w:r>
    </w:p>
    <w:p>
      <w:pPr>
        <w:autoSpaceDE w:val="0"/>
        <w:autoSpaceDN w:val="0"/>
        <w:adjustRightInd w:val="0"/>
        <w:jc w:val="both"/>
        <w:rPr>
          <w:rFonts w:ascii="Calibri" w:hAnsi="Calibri" w:cs="Courier New"/>
          <w:szCs w:val="20"/>
        </w:rPr>
      </w:pPr>
    </w:p>
    <w:p>
      <w:pPr>
        <w:autoSpaceDE w:val="0"/>
        <w:autoSpaceDN w:val="0"/>
        <w:adjustRightInd w:val="0"/>
        <w:rPr>
          <w:rFonts w:ascii="Calibri" w:hAnsi="Calibri" w:cs="Courier New"/>
          <w:szCs w:val="20"/>
        </w:rPr>
      </w:pPr>
      <w:r>
        <w:rPr>
          <w:rFonts w:ascii="Calibri" w:hAnsi="Calibri" w:cs="Courier New"/>
          <w:b/>
          <w:szCs w:val="20"/>
        </w:rPr>
        <w:t xml:space="preserve">§3 - </w:t>
      </w:r>
      <w:r>
        <w:rPr>
          <w:rFonts w:ascii="Calibri" w:hAnsi="Calibri" w:cs="Courier New"/>
          <w:szCs w:val="20"/>
        </w:rPr>
        <w:t xml:space="preserve">La communication est d’une durée de 10 et 15 minutes et, à cette occasion, le ou la </w:t>
      </w:r>
      <w:proofErr w:type="spellStart"/>
      <w:r>
        <w:rPr>
          <w:rFonts w:ascii="Calibri" w:hAnsi="Calibri" w:cs="Courier New"/>
          <w:szCs w:val="20"/>
        </w:rPr>
        <w:t>lauréat-e</w:t>
      </w:r>
      <w:proofErr w:type="spellEnd"/>
      <w:r>
        <w:rPr>
          <w:rFonts w:ascii="Calibri" w:hAnsi="Calibri" w:cs="Courier New"/>
          <w:szCs w:val="20"/>
        </w:rPr>
        <w:t xml:space="preserve"> dispose du matériel requis.</w:t>
      </w:r>
      <w:r>
        <w:rPr>
          <w:rFonts w:ascii="Calibri" w:hAnsi="Calibri" w:cs="Courier New"/>
          <w:b/>
          <w:szCs w:val="20"/>
        </w:rPr>
        <w:t xml:space="preserve">  </w:t>
      </w:r>
    </w:p>
    <w:p>
      <w:pPr>
        <w:autoSpaceDE w:val="0"/>
        <w:autoSpaceDN w:val="0"/>
        <w:adjustRightInd w:val="0"/>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p>
    <w:p>
      <w:pPr>
        <w:autoSpaceDE w:val="0"/>
        <w:autoSpaceDN w:val="0"/>
        <w:adjustRightInd w:val="0"/>
        <w:jc w:val="center"/>
        <w:rPr>
          <w:rFonts w:ascii="Calibri" w:hAnsi="Calibri" w:cs="Courier New"/>
          <w:b/>
        </w:rPr>
      </w:pPr>
      <w:r>
        <w:rPr>
          <w:rFonts w:ascii="Calibri" w:hAnsi="Calibri" w:cs="Courier New"/>
          <w:b/>
        </w:rPr>
        <w:lastRenderedPageBreak/>
        <w:t>Chapitre deuxième :</w:t>
      </w:r>
    </w:p>
    <w:p>
      <w:pPr>
        <w:autoSpaceDE w:val="0"/>
        <w:autoSpaceDN w:val="0"/>
        <w:adjustRightInd w:val="0"/>
        <w:jc w:val="center"/>
        <w:rPr>
          <w:rFonts w:ascii="Calibri" w:hAnsi="Calibri" w:cs="Courier New"/>
          <w:b/>
        </w:rPr>
      </w:pPr>
      <w:r>
        <w:rPr>
          <w:rFonts w:ascii="Calibri" w:hAnsi="Calibri" w:cs="Courier New"/>
          <w:b/>
        </w:rPr>
        <w:t>identification, recevabilité, candidature</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 xml:space="preserve">Article 4 – Identification </w:t>
      </w: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Par son inscription, la candidate ou le candidat accepte que les données </w:t>
      </w:r>
      <w:proofErr w:type="spellStart"/>
      <w:r>
        <w:rPr>
          <w:rFonts w:ascii="Calibri" w:hAnsi="Calibri" w:cs="Courier New"/>
          <w:szCs w:val="20"/>
        </w:rPr>
        <w:t>la</w:t>
      </w:r>
      <w:proofErr w:type="spellEnd"/>
      <w:r>
        <w:rPr>
          <w:rFonts w:ascii="Calibri" w:hAnsi="Calibri" w:cs="Courier New"/>
          <w:szCs w:val="20"/>
        </w:rPr>
        <w:t xml:space="preserve"> ou le concernant, collectées à cette occasion, soient traitées par l’Administration générale de l’Enseignement – Avenue du Port, 16 à 1080 Bruxelles – aux fins d’assurer la procédure d’octroi et la promotion du prix.</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Son nom sera l’unique donnée à caractère personnel qui pourra être communiqué à des tiers à l’occasion de la remise du prix.</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La candidate ou le candidat dispose, moyennant la preuve de son identité, d’un droit d’accès et de rectification des données </w:t>
      </w:r>
      <w:proofErr w:type="spellStart"/>
      <w:r>
        <w:rPr>
          <w:rFonts w:ascii="Calibri" w:hAnsi="Calibri" w:cs="Courier New"/>
          <w:szCs w:val="20"/>
        </w:rPr>
        <w:t>la</w:t>
      </w:r>
      <w:proofErr w:type="spellEnd"/>
      <w:r>
        <w:rPr>
          <w:rFonts w:ascii="Calibri" w:hAnsi="Calibri" w:cs="Courier New"/>
          <w:szCs w:val="20"/>
        </w:rPr>
        <w:t xml:space="preserve"> ou le concernant, via une demande à introduire à l’AGE.</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 xml:space="preserve">Article 5 – Recevabilité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Sont recevables  les mémoires et travaux de fin d’études des étudiantes et étudiants des établissements d’enseignement supérieur de plein exercice de la Fédération Wallonie-Bruxelles: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qui ont obtenu le diplôme à l’issue de l’année académique </w:t>
      </w:r>
      <w:r>
        <w:rPr>
          <w:rFonts w:ascii="Calibri" w:hAnsi="Calibri" w:cs="Courier New"/>
          <w:b/>
          <w:szCs w:val="20"/>
        </w:rPr>
        <w:t>2018-2019</w:t>
      </w:r>
      <w:r>
        <w:rPr>
          <w:rFonts w:ascii="Calibri" w:hAnsi="Calibri" w:cs="Courier New"/>
          <w:szCs w:val="20"/>
        </w:rPr>
        <w:t xml:space="preserve"> ;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qui ont reçu, pour ce mémoire ou ce travail de fin d’études, une note d’au moins 16/20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dont l’objet est conforme  au prescrit de l’article 1 du présent règlement.</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La même année ou lors des années suivantes, un candidat ou une candidate peut présenter plusieurs mémoires/TFE qu’il ou elle aurait réalisés dans des domaines différents. Ainsi, le fait d’avoir été lauréat ou lauréate n’empêche pas le dépôt d’une candidature nouvelle, relatif à un travail de fin d’études dans une autre discipline.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§3 –</w:t>
      </w:r>
      <w:r>
        <w:rPr>
          <w:rFonts w:ascii="Calibri" w:hAnsi="Calibri" w:cs="Courier New"/>
          <w:szCs w:val="20"/>
        </w:rPr>
        <w:t xml:space="preserve"> Ne sont pas recevables : </w:t>
      </w:r>
    </w:p>
    <w:p>
      <w:pPr>
        <w:pStyle w:val="Paragraphedeliste"/>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 les candidatures rentrées hors délai ou incomplètes ;  les travaux qui ont été soumis précédemment aux délibérations du Jury.</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b/>
          <w:szCs w:val="20"/>
        </w:rPr>
        <w:t>§4 –</w:t>
      </w:r>
      <w:r>
        <w:rPr>
          <w:rFonts w:ascii="Calibri" w:hAnsi="Calibri" w:cs="Courier New"/>
          <w:szCs w:val="20"/>
        </w:rPr>
        <w:t xml:space="preserve"> La décision de recevabilité du mémoire/TFE est prise par l’Administratrice générale de l’Enseignement et communiquée, sous quinzaine, par courriel au candidat ou à la candidate. Les mémoires/TFE non recevables ne sont pas transmis au Jury.</w:t>
      </w: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r>
        <w:rPr>
          <w:rFonts w:ascii="Calibri" w:hAnsi="Calibri" w:cs="Courier New"/>
          <w:b/>
          <w:szCs w:val="20"/>
        </w:rPr>
        <w:t>§5 –</w:t>
      </w:r>
      <w:r>
        <w:rPr>
          <w:rFonts w:ascii="Calibri" w:hAnsi="Calibri" w:cs="Courier New"/>
          <w:szCs w:val="20"/>
        </w:rPr>
        <w:t xml:space="preserve"> Les candidatures doivent parvenir au Service « Qualité et Stratégie » qui est chargé de la réception et de la recevabilité des candidatures via l’adresse : age.straqua@cfwb.be</w:t>
      </w:r>
    </w:p>
    <w:p>
      <w:pPr>
        <w:autoSpaceDE w:val="0"/>
        <w:autoSpaceDN w:val="0"/>
        <w:adjustRightInd w:val="0"/>
        <w:jc w:val="both"/>
        <w:rPr>
          <w:rFonts w:ascii="Calibri" w:hAnsi="Calibri" w:cs="Courier New"/>
          <w:b/>
          <w:szCs w:val="20"/>
        </w:rPr>
      </w:pPr>
      <w:r>
        <w:rPr>
          <w:rFonts w:ascii="Calibri" w:hAnsi="Calibri" w:cs="Courier New"/>
          <w:szCs w:val="20"/>
        </w:rPr>
        <w:t xml:space="preserve"> .</w:t>
      </w: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r>
        <w:rPr>
          <w:rFonts w:ascii="Calibri" w:hAnsi="Calibri" w:cs="Courier New"/>
          <w:b/>
          <w:szCs w:val="20"/>
        </w:rPr>
        <w:t>Article 6 – Candidature</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§1 – Contenu des dossiers de candidature</w:t>
      </w:r>
    </w:p>
    <w:p>
      <w:pPr>
        <w:autoSpaceDE w:val="0"/>
        <w:autoSpaceDN w:val="0"/>
        <w:adjustRightInd w:val="0"/>
        <w:jc w:val="both"/>
        <w:rPr>
          <w:rFonts w:ascii="Calibri" w:hAnsi="Calibri" w:cs="Courier New"/>
          <w:szCs w:val="20"/>
        </w:rPr>
      </w:pPr>
      <w:r>
        <w:rPr>
          <w:rFonts w:ascii="Calibri" w:hAnsi="Calibri" w:cs="Courier New"/>
          <w:szCs w:val="20"/>
        </w:rPr>
        <w:t>Les dossiers de candidature comportent :</w:t>
      </w:r>
    </w:p>
    <w:p>
      <w:pPr>
        <w:autoSpaceDE w:val="0"/>
        <w:autoSpaceDN w:val="0"/>
        <w:adjustRightInd w:val="0"/>
        <w:jc w:val="both"/>
        <w:rPr>
          <w:rFonts w:ascii="Calibri" w:hAnsi="Calibri" w:cs="Courier New"/>
          <w:szCs w:val="20"/>
        </w:rPr>
      </w:pPr>
      <w:r>
        <w:rPr>
          <w:rFonts w:ascii="Calibri" w:hAnsi="Calibri" w:cs="Courier New"/>
          <w:szCs w:val="20"/>
        </w:rPr>
        <w:t xml:space="preserve">  </w:t>
      </w:r>
    </w:p>
    <w:p>
      <w:pPr>
        <w:numPr>
          <w:ilvl w:val="0"/>
          <w:numId w:val="11"/>
        </w:numPr>
        <w:autoSpaceDE w:val="0"/>
        <w:autoSpaceDN w:val="0"/>
        <w:adjustRightInd w:val="0"/>
        <w:jc w:val="both"/>
        <w:rPr>
          <w:rFonts w:ascii="Calibri" w:hAnsi="Calibri" w:cs="Courier New"/>
          <w:szCs w:val="20"/>
        </w:rPr>
      </w:pPr>
      <w:r>
        <w:rPr>
          <w:rFonts w:ascii="Calibri" w:hAnsi="Calibri" w:cs="Courier New"/>
          <w:szCs w:val="20"/>
        </w:rPr>
        <w:t xml:space="preserve">un formulaire de participation disponible en ligne sur </w:t>
      </w:r>
      <w:hyperlink r:id="rId11" w:history="1">
        <w:r>
          <w:rPr>
            <w:rStyle w:val="Lienhypertexte"/>
            <w:rFonts w:ascii="Calibri" w:hAnsi="Calibri" w:cs="Courier New"/>
            <w:szCs w:val="20"/>
          </w:rPr>
          <w:t>http://enseignement.be/index.php?page=28135</w:t>
        </w:r>
      </w:hyperlink>
      <w:r>
        <w:rPr>
          <w:rFonts w:ascii="Calibri" w:hAnsi="Calibri" w:cs="Courier New"/>
          <w:szCs w:val="20"/>
        </w:rPr>
        <w:t> </w:t>
      </w:r>
      <w:r>
        <w:rPr>
          <w:rFonts w:ascii="Calibri" w:hAnsi="Calibri" w:cs="Courier New"/>
        </w:rPr>
        <w:t>;</w:t>
      </w:r>
    </w:p>
    <w:p>
      <w:pPr>
        <w:numPr>
          <w:ilvl w:val="0"/>
          <w:numId w:val="11"/>
        </w:numPr>
        <w:autoSpaceDE w:val="0"/>
        <w:autoSpaceDN w:val="0"/>
        <w:adjustRightInd w:val="0"/>
        <w:jc w:val="both"/>
        <w:rPr>
          <w:rFonts w:ascii="Calibri" w:hAnsi="Calibri" w:cs="Courier New"/>
          <w:szCs w:val="20"/>
        </w:rPr>
      </w:pPr>
      <w:bookmarkStart w:id="0" w:name="_GoBack"/>
      <w:bookmarkEnd w:id="0"/>
      <w:r>
        <w:rPr>
          <w:rFonts w:ascii="Calibri" w:hAnsi="Calibri" w:cs="Courier New"/>
          <w:szCs w:val="20"/>
        </w:rPr>
        <w:t>un document attestant de la note obtenue pour le mémoire/TFE ;</w:t>
      </w:r>
    </w:p>
    <w:p>
      <w:pPr>
        <w:numPr>
          <w:ilvl w:val="0"/>
          <w:numId w:val="11"/>
        </w:numPr>
        <w:autoSpaceDE w:val="0"/>
        <w:autoSpaceDN w:val="0"/>
        <w:adjustRightInd w:val="0"/>
        <w:jc w:val="both"/>
        <w:rPr>
          <w:rFonts w:ascii="Calibri" w:hAnsi="Calibri" w:cs="Courier New"/>
          <w:szCs w:val="20"/>
        </w:rPr>
      </w:pPr>
      <w:r>
        <w:rPr>
          <w:rFonts w:ascii="Calibri" w:hAnsi="Calibri" w:cs="Courier New"/>
          <w:szCs w:val="20"/>
        </w:rPr>
        <w:t xml:space="preserve">deux copies électroniques du mémoire/TFE, en ce compris ses annexes, dont une sera </w:t>
      </w:r>
      <w:proofErr w:type="spellStart"/>
      <w:r>
        <w:rPr>
          <w:rFonts w:ascii="Calibri" w:hAnsi="Calibri" w:cs="Courier New"/>
          <w:szCs w:val="20"/>
        </w:rPr>
        <w:t>anonymisée</w:t>
      </w:r>
      <w:proofErr w:type="spellEnd"/>
      <w:r>
        <w:rPr>
          <w:rStyle w:val="Appelnotedebasdep"/>
          <w:rFonts w:ascii="Calibri" w:hAnsi="Calibri" w:cs="Courier New"/>
          <w:szCs w:val="20"/>
        </w:rPr>
        <w:footnoteReference w:id="2"/>
      </w:r>
      <w:r>
        <w:rPr>
          <w:rFonts w:ascii="Calibri" w:hAnsi="Calibri" w:cs="Courier New"/>
          <w:szCs w:val="20"/>
        </w:rPr>
        <w:t> ;</w:t>
      </w:r>
    </w:p>
    <w:p>
      <w:pPr>
        <w:numPr>
          <w:ilvl w:val="0"/>
          <w:numId w:val="11"/>
        </w:numPr>
        <w:autoSpaceDE w:val="0"/>
        <w:autoSpaceDN w:val="0"/>
        <w:adjustRightInd w:val="0"/>
        <w:jc w:val="both"/>
        <w:rPr>
          <w:rFonts w:ascii="Calibri" w:hAnsi="Calibri" w:cs="Courier New"/>
          <w:szCs w:val="20"/>
        </w:rPr>
      </w:pPr>
      <w:r>
        <w:rPr>
          <w:rFonts w:ascii="Calibri" w:hAnsi="Calibri" w:cs="Courier New"/>
          <w:szCs w:val="20"/>
        </w:rPr>
        <w:t xml:space="preserve"> un résumé du mémoire/ TFE ;</w:t>
      </w:r>
    </w:p>
    <w:p>
      <w:pPr>
        <w:numPr>
          <w:ilvl w:val="0"/>
          <w:numId w:val="11"/>
        </w:numPr>
        <w:tabs>
          <w:tab w:val="clear" w:pos="720"/>
          <w:tab w:val="num" w:pos="851"/>
        </w:tabs>
        <w:autoSpaceDE w:val="0"/>
        <w:autoSpaceDN w:val="0"/>
        <w:adjustRightInd w:val="0"/>
        <w:jc w:val="both"/>
        <w:rPr>
          <w:rFonts w:ascii="Calibri" w:hAnsi="Calibri" w:cs="Courier New"/>
          <w:szCs w:val="20"/>
        </w:rPr>
      </w:pPr>
      <w:r>
        <w:rPr>
          <w:rFonts w:ascii="Calibri" w:hAnsi="Calibri" w:cs="Courier New"/>
          <w:szCs w:val="20"/>
        </w:rPr>
        <w:t>un texte expliquant l’intérêt du mémoire/TFE pour les politiques éducatives et les pédagogies de l’enseignement ordinaire et spécialisé voire de l’enseignement supérieur en FW-B.</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§2 – Résumé</w:t>
      </w:r>
    </w:p>
    <w:p>
      <w:pPr>
        <w:autoSpaceDE w:val="0"/>
        <w:autoSpaceDN w:val="0"/>
        <w:adjustRightInd w:val="0"/>
        <w:jc w:val="both"/>
        <w:rPr>
          <w:rFonts w:ascii="Calibri" w:hAnsi="Calibri" w:cs="Courier New"/>
          <w:szCs w:val="20"/>
        </w:rPr>
      </w:pPr>
      <w:r>
        <w:rPr>
          <w:rFonts w:ascii="Calibri" w:hAnsi="Calibri" w:cs="Courier New"/>
          <w:szCs w:val="20"/>
        </w:rPr>
        <w:t xml:space="preserve">Le résumé du mémoire/TFE compte au maximum  6000 caractères espace compris et est </w:t>
      </w:r>
      <w:proofErr w:type="spellStart"/>
      <w:r>
        <w:rPr>
          <w:rFonts w:ascii="Calibri" w:hAnsi="Calibri" w:cs="Courier New"/>
          <w:szCs w:val="20"/>
        </w:rPr>
        <w:t>anonymisé</w:t>
      </w:r>
      <w:proofErr w:type="spellEnd"/>
      <w:r>
        <w:rPr>
          <w:rFonts w:ascii="Calibri" w:hAnsi="Calibri" w:cs="Courier New"/>
          <w:szCs w:val="20"/>
        </w:rPr>
        <w:t xml:space="preserve">.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Il comporte les éléments suivants :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le titre ;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une description brève de la thématique et des questions directrices qui orientent le mémoire/TFE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la(les) discipline(s) de référence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la description des approches théoriques et de la méthodologie utilisée ;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les résultats majeurs apportés par l’étude ; </w:t>
      </w:r>
    </w:p>
    <w:p>
      <w:pPr>
        <w:numPr>
          <w:ilvl w:val="0"/>
          <w:numId w:val="8"/>
        </w:numPr>
        <w:autoSpaceDE w:val="0"/>
        <w:autoSpaceDN w:val="0"/>
        <w:adjustRightInd w:val="0"/>
        <w:jc w:val="both"/>
        <w:rPr>
          <w:rFonts w:ascii="Calibri" w:hAnsi="Calibri" w:cs="Courier New"/>
          <w:szCs w:val="20"/>
        </w:rPr>
      </w:pPr>
      <w:r>
        <w:rPr>
          <w:rFonts w:ascii="Calibri" w:hAnsi="Calibri" w:cs="Courier New"/>
          <w:szCs w:val="20"/>
        </w:rPr>
        <w:t>les éventuelles précautions ou limitations à prendre en considération.</w:t>
      </w:r>
    </w:p>
    <w:p>
      <w:pPr>
        <w:autoSpaceDE w:val="0"/>
        <w:autoSpaceDN w:val="0"/>
        <w:adjustRightInd w:val="0"/>
        <w:ind w:left="72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 xml:space="preserve">§3  –  Intérêt du mémoire/ TFE pour les politiques scolaires en FW-B </w:t>
      </w:r>
    </w:p>
    <w:p>
      <w:pPr>
        <w:autoSpaceDE w:val="0"/>
        <w:autoSpaceDN w:val="0"/>
        <w:adjustRightInd w:val="0"/>
        <w:jc w:val="both"/>
        <w:rPr>
          <w:rFonts w:ascii="Calibri" w:hAnsi="Calibri" w:cs="Courier New"/>
          <w:szCs w:val="20"/>
        </w:rPr>
      </w:pPr>
      <w:r>
        <w:rPr>
          <w:rFonts w:ascii="Calibri" w:hAnsi="Calibri" w:cs="Courier New"/>
          <w:szCs w:val="20"/>
        </w:rPr>
        <w:t>Le résumé est accompagné d’un second texte de  maximum 3000 caractères espace compris, qui rend compte de la transférabilité des acquis de l’analyse au système éducatif, à savoir aux politiques éducatives  et aux pédagogies en  Fédération Wallonie-Bruxelles. Ce second document explique, de manière argumentée, l’intérêt et l’utilité de cette  étude pour les politiques scolaires.</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mallCaps/>
          <w:szCs w:val="20"/>
        </w:rPr>
        <w:t>L’</w:t>
      </w:r>
      <w:r>
        <w:rPr>
          <w:rFonts w:ascii="Calibri" w:hAnsi="Calibri" w:cs="Courier New"/>
          <w:szCs w:val="20"/>
        </w:rPr>
        <w:t xml:space="preserve">AGE attire l’attention de la candidate ou du candidat sur la qualité du résumé et de la justification : </w:t>
      </w:r>
      <w:r>
        <w:rPr>
          <w:rFonts w:ascii="Calibri" w:hAnsi="Calibri" w:cs="Courier New"/>
          <w:szCs w:val="20"/>
          <w:u w:val="single"/>
        </w:rPr>
        <w:t>la présélection des candidatures s’opère exclusivement sur base de ces deux textes</w:t>
      </w:r>
      <w:r>
        <w:rPr>
          <w:rFonts w:ascii="Calibri" w:hAnsi="Calibri" w:cs="Courier New"/>
          <w:szCs w:val="20"/>
        </w:rPr>
        <w:t>.</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r>
        <w:rPr>
          <w:rFonts w:ascii="Calibri" w:hAnsi="Calibri" w:cs="Courier New"/>
          <w:b/>
          <w:szCs w:val="20"/>
        </w:rPr>
        <w:t>§4 – Transmission du dossier et délai d’introduction des candidatures</w:t>
      </w:r>
    </w:p>
    <w:p>
      <w:pPr>
        <w:autoSpaceDE w:val="0"/>
        <w:autoSpaceDN w:val="0"/>
        <w:adjustRightInd w:val="0"/>
        <w:jc w:val="both"/>
        <w:rPr>
          <w:rFonts w:ascii="Calibri" w:hAnsi="Calibri" w:cs="Courier New"/>
          <w:szCs w:val="20"/>
        </w:rPr>
      </w:pPr>
      <w:r>
        <w:rPr>
          <w:rFonts w:ascii="Calibri" w:hAnsi="Calibri" w:cs="Courier New"/>
          <w:szCs w:val="20"/>
        </w:rPr>
        <w:t>Ces documents seront transmis à l’attention du Service « Qualité et Stratégie » de l’AGE via une application numérique qui permet le transfert aisé de fichiers volumineux.</w:t>
      </w: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r>
        <w:rPr>
          <w:rFonts w:ascii="Calibri" w:hAnsi="Calibri" w:cs="Courier New"/>
          <w:szCs w:val="20"/>
        </w:rPr>
        <w:lastRenderedPageBreak/>
        <w:t xml:space="preserve">L’ensemble du dossier doit parvenir, au plus tard, </w:t>
      </w:r>
      <w:r>
        <w:rPr>
          <w:rFonts w:ascii="Calibri" w:hAnsi="Calibri" w:cs="Courier New"/>
          <w:b/>
          <w:szCs w:val="20"/>
        </w:rPr>
        <w:t xml:space="preserve">le </w:t>
      </w:r>
      <w:r>
        <w:rPr>
          <w:rFonts w:ascii="Calibri" w:hAnsi="Calibri" w:cs="Courier New"/>
          <w:szCs w:val="20"/>
        </w:rPr>
        <w:t> </w:t>
      </w:r>
      <w:r>
        <w:rPr>
          <w:rFonts w:ascii="Calibri" w:hAnsi="Calibri" w:cs="Courier New"/>
          <w:b/>
          <w:szCs w:val="20"/>
        </w:rPr>
        <w:t>04 octobre 2019 – 16h</w:t>
      </w:r>
      <w:r>
        <w:rPr>
          <w:rFonts w:ascii="Calibri" w:hAnsi="Calibri" w:cs="Courier New"/>
          <w:szCs w:val="20"/>
        </w:rPr>
        <w:t>, à l’attention de Madame l’Administratrice générale l de l’Enseignement, à l’adresse suivante : age.straqua@cfwb.be</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Un accusé de réception des documents est envoyé aux candidats et candidates, par courriel, au plus tard le </w:t>
      </w:r>
      <w:r>
        <w:rPr>
          <w:rFonts w:ascii="Calibri" w:hAnsi="Calibri" w:cs="Courier New"/>
          <w:b/>
          <w:szCs w:val="20"/>
        </w:rPr>
        <w:t> 11 octobre 2019.</w:t>
      </w:r>
      <w:r>
        <w:rPr>
          <w:rFonts w:ascii="Calibri" w:hAnsi="Calibri" w:cs="Courier New"/>
          <w:szCs w:val="20"/>
        </w:rPr>
        <w:t xml:space="preserve"> En cas de non-réception de cet accusé, la candidate ou le candidat est </w:t>
      </w:r>
      <w:proofErr w:type="spellStart"/>
      <w:r>
        <w:rPr>
          <w:rFonts w:ascii="Calibri" w:hAnsi="Calibri" w:cs="Courier New"/>
          <w:szCs w:val="20"/>
        </w:rPr>
        <w:t>invité-e</w:t>
      </w:r>
      <w:proofErr w:type="spellEnd"/>
      <w:r>
        <w:rPr>
          <w:rFonts w:ascii="Calibri" w:hAnsi="Calibri" w:cs="Courier New"/>
          <w:szCs w:val="20"/>
        </w:rPr>
        <w:t xml:space="preserve"> à prendre contact avec le Service « Qualité et Stratégie » : age.straqua@cfwb.be</w:t>
      </w:r>
    </w:p>
    <w:p>
      <w:pPr>
        <w:autoSpaceDE w:val="0"/>
        <w:autoSpaceDN w:val="0"/>
        <w:adjustRightInd w:val="0"/>
        <w:jc w:val="both"/>
        <w:rPr>
          <w:rFonts w:ascii="Calibri" w:hAnsi="Calibri" w:cs="Courier New"/>
          <w:szCs w:val="20"/>
        </w:rPr>
      </w:pPr>
    </w:p>
    <w:p>
      <w:pPr>
        <w:autoSpaceDE w:val="0"/>
        <w:autoSpaceDN w:val="0"/>
        <w:adjustRightInd w:val="0"/>
        <w:rPr>
          <w:rFonts w:ascii="Calibri" w:hAnsi="Calibri" w:cs="Courier New"/>
          <w:szCs w:val="20"/>
        </w:rPr>
      </w:pPr>
    </w:p>
    <w:p>
      <w:pPr>
        <w:autoSpaceDE w:val="0"/>
        <w:autoSpaceDN w:val="0"/>
        <w:adjustRightInd w:val="0"/>
        <w:rPr>
          <w:rFonts w:ascii="Calibri" w:hAnsi="Calibri" w:cs="Courier New"/>
          <w:b/>
        </w:rPr>
      </w:pPr>
    </w:p>
    <w:p>
      <w:pPr>
        <w:autoSpaceDE w:val="0"/>
        <w:autoSpaceDN w:val="0"/>
        <w:adjustRightInd w:val="0"/>
        <w:jc w:val="center"/>
        <w:rPr>
          <w:rFonts w:ascii="Calibri" w:hAnsi="Calibri" w:cs="Courier New"/>
          <w:b/>
        </w:rPr>
      </w:pPr>
      <w:r>
        <w:rPr>
          <w:rFonts w:ascii="Calibri" w:hAnsi="Calibri" w:cs="Courier New"/>
          <w:b/>
        </w:rPr>
        <w:t xml:space="preserve">Chapitre troisième : </w:t>
      </w:r>
    </w:p>
    <w:p>
      <w:pPr>
        <w:autoSpaceDE w:val="0"/>
        <w:autoSpaceDN w:val="0"/>
        <w:adjustRightInd w:val="0"/>
        <w:jc w:val="center"/>
        <w:rPr>
          <w:rFonts w:ascii="Calibri" w:hAnsi="Calibri" w:cs="Courier New"/>
          <w:b/>
        </w:rPr>
      </w:pPr>
      <w:r>
        <w:rPr>
          <w:rFonts w:ascii="Calibri" w:hAnsi="Calibri" w:cs="Courier New"/>
          <w:b/>
        </w:rPr>
        <w:t xml:space="preserve">jury, critères, information, droits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Article 7 –  Jury de sélection</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Un Jury départage les travaux reçus ; il  est composé de :</w:t>
      </w:r>
    </w:p>
    <w:p>
      <w:pPr>
        <w:numPr>
          <w:ilvl w:val="0"/>
          <w:numId w:val="15"/>
        </w:numPr>
        <w:autoSpaceDE w:val="0"/>
        <w:autoSpaceDN w:val="0"/>
        <w:adjustRightInd w:val="0"/>
        <w:jc w:val="both"/>
        <w:rPr>
          <w:rFonts w:ascii="Calibri" w:hAnsi="Calibri" w:cs="Courier New"/>
          <w:szCs w:val="20"/>
        </w:rPr>
      </w:pPr>
      <w:r>
        <w:rPr>
          <w:rFonts w:ascii="Calibri" w:hAnsi="Calibri" w:cs="Courier New"/>
          <w:szCs w:val="20"/>
        </w:rPr>
        <w:t>membres académiques d’établissements d’enseignement supérieur/institutions de deuxième cycle de la Fédération Wallonie-Bruxelles ;</w:t>
      </w:r>
    </w:p>
    <w:p>
      <w:pPr>
        <w:numPr>
          <w:ilvl w:val="0"/>
          <w:numId w:val="15"/>
        </w:numPr>
        <w:autoSpaceDE w:val="0"/>
        <w:autoSpaceDN w:val="0"/>
        <w:adjustRightInd w:val="0"/>
        <w:jc w:val="both"/>
        <w:rPr>
          <w:rFonts w:ascii="Calibri" w:hAnsi="Calibri" w:cs="Courier New"/>
          <w:szCs w:val="20"/>
        </w:rPr>
      </w:pPr>
      <w:r>
        <w:rPr>
          <w:rFonts w:ascii="Calibri" w:hAnsi="Calibri" w:cs="Courier New"/>
          <w:szCs w:val="20"/>
        </w:rPr>
        <w:t>représentants de l’Administration générale de l’Enseignement : Direction générale de l’Enseignement obligatoire, Direction générale de l’Enseignement non obligatoire et de la Recherche scientifique, Direction générale du Pilotage du Système éducatif et Direction d’appui de l’Administratrice générale.</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Le Jury se réunit autant de fois qu’il le juge nécessaire et arrête sa décision d’attribution du prix. Il est souverain dans ses délibérations ainsi que pour toute interprétation relative à l’application du présent règlement.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Article 8 – Critères de sélection</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Différents aspects du dossier de candidature sont pris en considération par le jury, pour la sélection de la lauréate ou du lauréat du prix du mémoire de l’AGE. A savoir :</w:t>
      </w:r>
    </w:p>
    <w:p>
      <w:pPr>
        <w:numPr>
          <w:ilvl w:val="0"/>
          <w:numId w:val="14"/>
        </w:numPr>
        <w:autoSpaceDE w:val="0"/>
        <w:autoSpaceDN w:val="0"/>
        <w:adjustRightInd w:val="0"/>
        <w:jc w:val="both"/>
        <w:rPr>
          <w:rFonts w:ascii="Calibri" w:hAnsi="Calibri" w:cs="Courier New"/>
          <w:szCs w:val="20"/>
        </w:rPr>
      </w:pPr>
      <w:r>
        <w:rPr>
          <w:rFonts w:ascii="Calibri" w:hAnsi="Calibri" w:cs="Courier New"/>
          <w:szCs w:val="20"/>
        </w:rPr>
        <w:t xml:space="preserve">l’originalité du choix du sujet et de son traitement ;  </w:t>
      </w:r>
    </w:p>
    <w:p>
      <w:pPr>
        <w:numPr>
          <w:ilvl w:val="0"/>
          <w:numId w:val="14"/>
        </w:numPr>
        <w:autoSpaceDE w:val="0"/>
        <w:autoSpaceDN w:val="0"/>
        <w:adjustRightInd w:val="0"/>
        <w:jc w:val="both"/>
        <w:rPr>
          <w:rFonts w:ascii="Calibri" w:hAnsi="Calibri" w:cs="Courier New"/>
          <w:szCs w:val="20"/>
        </w:rPr>
      </w:pPr>
      <w:r>
        <w:rPr>
          <w:rFonts w:ascii="Calibri" w:hAnsi="Calibri" w:cs="Courier New"/>
          <w:szCs w:val="20"/>
        </w:rPr>
        <w:t>l’intérêt, la pertinence et les retombées potentielles de ce travail en regard des questions et enjeux qui traversent aujourd’hui les politiques et les pratiques scolaires en Fédération Wallonie-Bruxelles ;</w:t>
      </w:r>
    </w:p>
    <w:p>
      <w:pPr>
        <w:numPr>
          <w:ilvl w:val="0"/>
          <w:numId w:val="14"/>
        </w:numPr>
        <w:autoSpaceDE w:val="0"/>
        <w:autoSpaceDN w:val="0"/>
        <w:adjustRightInd w:val="0"/>
        <w:jc w:val="both"/>
        <w:rPr>
          <w:rFonts w:ascii="Calibri" w:hAnsi="Calibri" w:cs="Courier New"/>
          <w:szCs w:val="20"/>
        </w:rPr>
      </w:pPr>
      <w:r>
        <w:rPr>
          <w:rFonts w:ascii="Calibri" w:hAnsi="Calibri" w:cs="Courier New"/>
          <w:szCs w:val="20"/>
        </w:rPr>
        <w:t xml:space="preserve">le cadre théorique et la rigueur méthodologique : </w:t>
      </w:r>
    </w:p>
    <w:p>
      <w:pPr>
        <w:numPr>
          <w:ilvl w:val="0"/>
          <w:numId w:val="14"/>
        </w:numPr>
        <w:autoSpaceDE w:val="0"/>
        <w:autoSpaceDN w:val="0"/>
        <w:adjustRightInd w:val="0"/>
        <w:jc w:val="both"/>
        <w:rPr>
          <w:rFonts w:ascii="Calibri" w:hAnsi="Calibri" w:cs="Courier New"/>
          <w:szCs w:val="20"/>
        </w:rPr>
      </w:pPr>
      <w:r>
        <w:rPr>
          <w:rFonts w:ascii="Calibri" w:hAnsi="Calibri" w:cs="Courier New"/>
          <w:szCs w:val="20"/>
        </w:rPr>
        <w:t xml:space="preserve">l’adéquation des outils en regard de la question posée et le souci de faire progresser les questions méthodologiques relatives à l’objet d’étude ; </w:t>
      </w:r>
    </w:p>
    <w:p>
      <w:pPr>
        <w:numPr>
          <w:ilvl w:val="0"/>
          <w:numId w:val="14"/>
        </w:numPr>
        <w:autoSpaceDE w:val="0"/>
        <w:autoSpaceDN w:val="0"/>
        <w:adjustRightInd w:val="0"/>
        <w:jc w:val="both"/>
        <w:rPr>
          <w:rFonts w:ascii="Calibri" w:hAnsi="Calibri" w:cs="Courier New"/>
          <w:szCs w:val="20"/>
        </w:rPr>
      </w:pPr>
      <w:r>
        <w:rPr>
          <w:rFonts w:ascii="Calibri" w:hAnsi="Calibri" w:cs="Courier New"/>
          <w:szCs w:val="20"/>
        </w:rPr>
        <w:t>la qualité de l’analyse et la robustesse des résultats obtenus.</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r>
        <w:rPr>
          <w:rFonts w:ascii="Calibri" w:hAnsi="Calibri" w:cs="Courier New"/>
          <w:b/>
          <w:szCs w:val="20"/>
        </w:rPr>
        <w:lastRenderedPageBreak/>
        <w:t>Article 9 – Information des candidats</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L’AGE informe les candidats et les candidates de la décision d’attribution du prix du mémoire de l’AGE, par courrier ou par courriel, au plus tard </w:t>
      </w:r>
      <w:r>
        <w:rPr>
          <w:rFonts w:ascii="Calibri" w:hAnsi="Calibri" w:cs="Courier New"/>
          <w:b/>
          <w:szCs w:val="20"/>
        </w:rPr>
        <w:t> le 18 novembre 2019.</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r>
        <w:rPr>
          <w:rFonts w:ascii="Calibri" w:hAnsi="Calibri" w:cs="Courier New"/>
          <w:b/>
          <w:szCs w:val="20"/>
        </w:rPr>
        <w:t xml:space="preserve">Article 10 – Droits d’auteur </w:t>
      </w:r>
    </w:p>
    <w:p>
      <w:pPr>
        <w:autoSpaceDE w:val="0"/>
        <w:autoSpaceDN w:val="0"/>
        <w:adjustRightInd w:val="0"/>
        <w:jc w:val="both"/>
        <w:rPr>
          <w:rFonts w:ascii="Calibri" w:hAnsi="Calibri" w:cs="Courier New"/>
          <w:szCs w:val="20"/>
        </w:rPr>
      </w:pPr>
    </w:p>
    <w:p>
      <w:pPr>
        <w:autoSpaceDE w:val="0"/>
        <w:autoSpaceDN w:val="0"/>
        <w:jc w:val="both"/>
        <w:rPr>
          <w:rFonts w:ascii="Calibri" w:hAnsi="Calibri" w:cs="Courier New"/>
          <w:szCs w:val="20"/>
        </w:rPr>
      </w:pPr>
      <w:r>
        <w:rPr>
          <w:rFonts w:ascii="Calibri" w:hAnsi="Calibri" w:cs="Courier New"/>
          <w:szCs w:val="20"/>
        </w:rPr>
        <w:t xml:space="preserve">Par son inscription, la candidate ou le candidat accepte que la Fédération Wallonie-Bruxelles communique au sujet de l’attribution du prix et autorise le dépôt de son mémoire/TFE ainsi que le texte de sa communication sur le site internet de l’AGE ainsi que sur le répertoire </w:t>
      </w:r>
      <w:proofErr w:type="spellStart"/>
      <w:r>
        <w:rPr>
          <w:rFonts w:ascii="Calibri" w:hAnsi="Calibri" w:cs="Courier New"/>
          <w:szCs w:val="20"/>
        </w:rPr>
        <w:t>RéFéR</w:t>
      </w:r>
      <w:proofErr w:type="spellEnd"/>
      <w:r>
        <w:rPr>
          <w:rFonts w:ascii="Calibri" w:hAnsi="Calibri" w:cs="Courier New"/>
          <w:szCs w:val="20"/>
        </w:rPr>
        <w:t xml:space="preserve"> du Ministère de la FWB.</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 xml:space="preserve">La Fédération Wallonie-Bruxelles garantit la propriété du travail de </w:t>
      </w:r>
      <w:r>
        <w:rPr>
          <w:rFonts w:ascii="Calibri" w:hAnsi="Calibri" w:cs="Courier New"/>
          <w:szCs w:val="20"/>
          <w:u w:val="single"/>
        </w:rPr>
        <w:t>l’auteur ou l’auteure</w:t>
      </w:r>
      <w:r>
        <w:rPr>
          <w:rFonts w:ascii="Calibri" w:hAnsi="Calibri" w:cs="Courier New"/>
          <w:szCs w:val="20"/>
        </w:rPr>
        <w:t xml:space="preserve"> et se réserve, le cas échéant, la possibilité de reproduire et de diffuser, avec l’accord de celui-ci ou celle-ci, tout ou partie du mémoire ou du TFE primé. </w:t>
      </w:r>
    </w:p>
    <w:p>
      <w:pPr>
        <w:autoSpaceDE w:val="0"/>
        <w:autoSpaceDN w:val="0"/>
        <w:adjustRightInd w:val="0"/>
        <w:jc w:val="both"/>
        <w:rPr>
          <w:rFonts w:ascii="Calibri" w:hAnsi="Calibri" w:cs="Courier New"/>
          <w:szCs w:val="20"/>
        </w:rPr>
      </w:pPr>
    </w:p>
    <w:p>
      <w:pPr>
        <w:autoSpaceDE w:val="0"/>
        <w:autoSpaceDN w:val="0"/>
        <w:adjustRightInd w:val="0"/>
        <w:jc w:val="both"/>
        <w:rPr>
          <w:rFonts w:ascii="Calibri" w:hAnsi="Calibri" w:cs="Courier New"/>
          <w:szCs w:val="20"/>
        </w:rPr>
      </w:pPr>
      <w:r>
        <w:rPr>
          <w:rFonts w:ascii="Calibri" w:hAnsi="Calibri" w:cs="Courier New"/>
          <w:szCs w:val="20"/>
        </w:rPr>
        <w:t>La Fédération Wallonie-Bruxelles peut éventuellement en assurer une publication, sous les diverses formes  et le mettre en ligne, avec l’accord de l’auteure ou de l’auteur.</w:t>
      </w:r>
    </w:p>
    <w:p>
      <w:pPr>
        <w:autoSpaceDE w:val="0"/>
        <w:autoSpaceDN w:val="0"/>
        <w:adjustRightInd w:val="0"/>
        <w:jc w:val="both"/>
        <w:rPr>
          <w:rFonts w:ascii="Calibri" w:hAnsi="Calibri" w:cs="Courier New"/>
          <w:szCs w:val="20"/>
        </w:rPr>
      </w:pPr>
      <w:r>
        <w:rPr>
          <w:rFonts w:ascii="Calibri" w:hAnsi="Calibri" w:cs="Courier New"/>
          <w:szCs w:val="20"/>
        </w:rPr>
        <w:t xml:space="preserve"> </w:t>
      </w:r>
    </w:p>
    <w:p>
      <w:pPr>
        <w:rPr>
          <w:rFonts w:ascii="Calibri" w:hAnsi="Calibri" w:cs="Courier New"/>
          <w:szCs w:val="20"/>
        </w:rPr>
      </w:pPr>
    </w:p>
    <w:p>
      <w:pPr>
        <w:autoSpaceDE w:val="0"/>
        <w:autoSpaceDN w:val="0"/>
        <w:adjustRightInd w:val="0"/>
        <w:jc w:val="both"/>
        <w:rPr>
          <w:rFonts w:ascii="Calibri" w:hAnsi="Calibri" w:cs="Courier New"/>
          <w:b/>
          <w:szCs w:val="20"/>
        </w:rPr>
      </w:pPr>
      <w:r>
        <w:rPr>
          <w:rFonts w:ascii="Calibri" w:hAnsi="Calibri" w:cs="Courier New"/>
          <w:b/>
          <w:szCs w:val="20"/>
        </w:rPr>
        <w:t>Article 11 – Acceptation</w:t>
      </w:r>
    </w:p>
    <w:p>
      <w:pPr>
        <w:autoSpaceDE w:val="0"/>
        <w:autoSpaceDN w:val="0"/>
        <w:adjustRightInd w:val="0"/>
        <w:jc w:val="both"/>
        <w:rPr>
          <w:rFonts w:ascii="Calibri" w:hAnsi="Calibri" w:cs="Courier New"/>
          <w:b/>
          <w:szCs w:val="20"/>
        </w:rPr>
      </w:pPr>
    </w:p>
    <w:p>
      <w:pPr>
        <w:autoSpaceDE w:val="0"/>
        <w:autoSpaceDN w:val="0"/>
        <w:adjustRightInd w:val="0"/>
        <w:jc w:val="both"/>
        <w:rPr>
          <w:rFonts w:ascii="Calibri" w:hAnsi="Calibri" w:cs="Courier New"/>
          <w:b/>
          <w:szCs w:val="20"/>
        </w:rPr>
      </w:pPr>
      <w:r>
        <w:rPr>
          <w:rFonts w:ascii="Calibri" w:hAnsi="Calibri" w:cs="Courier New"/>
          <w:szCs w:val="20"/>
        </w:rPr>
        <w:t>Le dépôt d’une candidature vaut acceptation du règlement du concours.</w:t>
      </w:r>
      <w:r>
        <w:rPr>
          <w:rFonts w:ascii="Calibri" w:hAnsi="Calibri" w:cs="Courier New"/>
          <w:b/>
          <w:szCs w:val="20"/>
        </w:rPr>
        <w:t xml:space="preserve"> </w:t>
      </w:r>
    </w:p>
    <w:p>
      <w:pPr>
        <w:rPr>
          <w:rFonts w:ascii="Calibri" w:hAnsi="Calibri" w:cs="Courier New"/>
          <w:szCs w:val="20"/>
        </w:rPr>
      </w:pPr>
    </w:p>
    <w:p>
      <w:pPr>
        <w:rPr>
          <w:rFonts w:ascii="Calibri" w:hAnsi="Calibri" w:cs="Courier New"/>
          <w:szCs w:val="20"/>
        </w:rPr>
      </w:pPr>
    </w:p>
    <w:p>
      <w:pPr>
        <w:rPr>
          <w:rFonts w:ascii="Calibri" w:hAnsi="Calibri" w:cs="Courier New"/>
          <w:szCs w:val="20"/>
        </w:rPr>
      </w:pPr>
    </w:p>
    <w:sectPr>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Bold">
    <w:altName w:val="Cambria"/>
    <w:panose1 w:val="00000000000000000000"/>
    <w:charset w:val="00"/>
    <w:family w:val="swiss"/>
    <w:notTrueType/>
    <w:pitch w:val="default"/>
    <w:sig w:usb0="00000003" w:usb1="00000000" w:usb2="00000000" w:usb3="00000000" w:csb0="00000001" w:csb1="00000000"/>
  </w:font>
  <w:font w:name="SegoeUI">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pPr>
      <w:pStyle w:val="Pieddepage"/>
      <w:ind w:right="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pPr>
    <w:r>
      <w:t>Prix du mémoire en éducation – Année académique 2018-2019</w:t>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jc w:val="both"/>
      </w:pPr>
      <w:r>
        <w:rPr>
          <w:rStyle w:val="Appelnotedebasdep"/>
        </w:rPr>
        <w:footnoteRef/>
      </w:r>
      <w:r>
        <w:t xml:space="preserve"> </w:t>
      </w:r>
      <w:r>
        <w:rPr>
          <w:rFonts w:ascii="Verdana" w:hAnsi="Verdana"/>
          <w:sz w:val="16"/>
          <w:szCs w:val="16"/>
        </w:rPr>
        <w:t xml:space="preserve">L’expression « Fédération Wallonie-Bruxelles » désigne la « Communauté française de Belgique » visée par la loi </w:t>
      </w:r>
      <w:r>
        <w:rPr>
          <w:rFonts w:ascii="Verdana" w:hAnsi="Verdana"/>
          <w:sz w:val="16"/>
          <w:szCs w:val="16"/>
          <w:lang w:val="fr-BE"/>
        </w:rPr>
        <w:t xml:space="preserve">spéciale de réformes institutionnelles du 8 août </w:t>
      </w:r>
      <w:smartTag w:uri="urn:schemas-microsoft-com:office:smarttags" w:element="metricconverter">
        <w:smartTagPr>
          <w:attr w:name="ProductID" w:val="1980, M"/>
        </w:smartTagPr>
        <w:r>
          <w:rPr>
            <w:rFonts w:ascii="Verdana" w:hAnsi="Verdana"/>
            <w:sz w:val="16"/>
            <w:szCs w:val="16"/>
            <w:lang w:val="fr-BE"/>
          </w:rPr>
          <w:t xml:space="preserve">1980, </w:t>
        </w:r>
        <w:r>
          <w:rPr>
            <w:rFonts w:ascii="Verdana" w:hAnsi="Verdana"/>
            <w:i/>
            <w:sz w:val="16"/>
            <w:szCs w:val="16"/>
            <w:u w:val="single"/>
            <w:lang w:val="fr-BE"/>
          </w:rPr>
          <w:t>M</w:t>
        </w:r>
      </w:smartTag>
      <w:r>
        <w:rPr>
          <w:rFonts w:ascii="Verdana" w:hAnsi="Verdana"/>
          <w:i/>
          <w:sz w:val="16"/>
          <w:szCs w:val="16"/>
          <w:u w:val="single"/>
          <w:lang w:val="fr-BE"/>
        </w:rPr>
        <w:t>.B</w:t>
      </w:r>
      <w:r>
        <w:rPr>
          <w:rFonts w:ascii="Verdana" w:hAnsi="Verdana"/>
          <w:i/>
          <w:sz w:val="16"/>
          <w:szCs w:val="16"/>
          <w:lang w:val="fr-BE"/>
        </w:rPr>
        <w:t>.</w:t>
      </w:r>
      <w:r>
        <w:rPr>
          <w:rFonts w:ascii="Verdana" w:hAnsi="Verdana"/>
          <w:sz w:val="16"/>
          <w:szCs w:val="16"/>
          <w:lang w:val="fr-BE"/>
        </w:rPr>
        <w:t>, 15-08-1980.</w:t>
      </w:r>
    </w:p>
  </w:footnote>
  <w:footnote w:id="2">
    <w:p>
      <w:pPr>
        <w:pStyle w:val="Notedebasdepage"/>
        <w:jc w:val="both"/>
      </w:pPr>
      <w:r>
        <w:rPr>
          <w:rStyle w:val="Appelnotedebasdep"/>
        </w:rPr>
        <w:footnoteRef/>
      </w:r>
      <w:r>
        <w:t xml:space="preserve"> </w:t>
      </w:r>
      <w:r>
        <w:rPr>
          <w:rFonts w:ascii="Verdana" w:hAnsi="Verdana" w:cs="Courier New"/>
          <w:sz w:val="16"/>
          <w:szCs w:val="16"/>
        </w:rPr>
        <w:t xml:space="preserve">Sans mention qui permette d’identifier le ou la candidate, le ou </w:t>
      </w:r>
      <w:proofErr w:type="gramStart"/>
      <w:r>
        <w:rPr>
          <w:rFonts w:ascii="Verdana" w:hAnsi="Verdana" w:cs="Courier New"/>
          <w:sz w:val="16"/>
          <w:szCs w:val="16"/>
        </w:rPr>
        <w:t>la</w:t>
      </w:r>
      <w:proofErr w:type="gramEnd"/>
      <w:r>
        <w:rPr>
          <w:rFonts w:ascii="Verdana" w:hAnsi="Verdana" w:cs="Courier New"/>
          <w:sz w:val="16"/>
          <w:szCs w:val="16"/>
        </w:rPr>
        <w:t xml:space="preserve"> promoteur-</w:t>
      </w:r>
      <w:proofErr w:type="spellStart"/>
      <w:r>
        <w:rPr>
          <w:rFonts w:ascii="Verdana" w:hAnsi="Verdana" w:cs="Courier New"/>
          <w:sz w:val="16"/>
          <w:szCs w:val="16"/>
        </w:rPr>
        <w:t>trice</w:t>
      </w:r>
      <w:proofErr w:type="spellEnd"/>
      <w:r>
        <w:rPr>
          <w:rFonts w:ascii="Verdana" w:hAnsi="Verdana" w:cs="Courier New"/>
          <w:sz w:val="16"/>
          <w:szCs w:val="16"/>
        </w:rPr>
        <w:t xml:space="preserve"> du mémoire/TFE ou l’établissement d’enseignement supérieur.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center"/>
      <w:rPr>
        <w:rFonts w:ascii="Garamond" w:hAnsi="Garamond"/>
        <w:sz w:val="16"/>
        <w:szCs w:val="16"/>
      </w:rPr>
    </w:pPr>
    <w:r>
      <w:rPr>
        <w:rFonts w:ascii="Garamond" w:hAnsi="Garamond"/>
        <w:sz w:val="16"/>
        <w:szCs w:val="16"/>
      </w:rPr>
      <w:t>Fédération Wallonie-Bruxelles - Administration générale de l’Enseignement – Règlement  2018-2019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612"/>
    <w:multiLevelType w:val="hybridMultilevel"/>
    <w:tmpl w:val="FDD0B3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5F0D60"/>
    <w:multiLevelType w:val="hybridMultilevel"/>
    <w:tmpl w:val="BF661F48"/>
    <w:lvl w:ilvl="0" w:tplc="6704690E">
      <w:start w:val="6"/>
      <w:numFmt w:val="bullet"/>
      <w:lvlText w:val="-"/>
      <w:lvlJc w:val="left"/>
      <w:pPr>
        <w:tabs>
          <w:tab w:val="num" w:pos="720"/>
        </w:tabs>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15:restartNumberingAfterBreak="0">
    <w:nsid w:val="1D8D5B5B"/>
    <w:multiLevelType w:val="hybridMultilevel"/>
    <w:tmpl w:val="F858F66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A2679"/>
    <w:multiLevelType w:val="hybridMultilevel"/>
    <w:tmpl w:val="E854674C"/>
    <w:lvl w:ilvl="0" w:tplc="924CECA2">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D5631"/>
    <w:multiLevelType w:val="hybridMultilevel"/>
    <w:tmpl w:val="D85A99AA"/>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D4E0C"/>
    <w:multiLevelType w:val="hybridMultilevel"/>
    <w:tmpl w:val="A04E823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B62632"/>
    <w:multiLevelType w:val="hybridMultilevel"/>
    <w:tmpl w:val="F2E6ED3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C19AE"/>
    <w:multiLevelType w:val="hybridMultilevel"/>
    <w:tmpl w:val="CC3C93C0"/>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F5491"/>
    <w:multiLevelType w:val="hybridMultilevel"/>
    <w:tmpl w:val="E934032C"/>
    <w:lvl w:ilvl="0" w:tplc="FF84EF94">
      <w:numFmt w:val="bullet"/>
      <w:lvlText w:val="-"/>
      <w:lvlJc w:val="left"/>
      <w:pPr>
        <w:tabs>
          <w:tab w:val="num" w:pos="720"/>
        </w:tabs>
        <w:ind w:left="720" w:hanging="360"/>
      </w:pPr>
      <w:rPr>
        <w:rFonts w:ascii="Corbel" w:eastAsia="Times New Roman" w:hAnsi="Corbe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635C7"/>
    <w:multiLevelType w:val="hybridMultilevel"/>
    <w:tmpl w:val="A3F0C3C6"/>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F711B"/>
    <w:multiLevelType w:val="hybridMultilevel"/>
    <w:tmpl w:val="D4A6664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FF56FF"/>
    <w:multiLevelType w:val="hybridMultilevel"/>
    <w:tmpl w:val="85465EF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82A0B"/>
    <w:multiLevelType w:val="hybridMultilevel"/>
    <w:tmpl w:val="C10A4C2A"/>
    <w:lvl w:ilvl="0" w:tplc="D8ACBCDC">
      <w:start w:val="3"/>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709AF"/>
    <w:multiLevelType w:val="hybridMultilevel"/>
    <w:tmpl w:val="657E2CBA"/>
    <w:lvl w:ilvl="0" w:tplc="5BAEBF52">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65CA2"/>
    <w:multiLevelType w:val="hybridMultilevel"/>
    <w:tmpl w:val="D97893A2"/>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4"/>
  </w:num>
  <w:num w:numId="9">
    <w:abstractNumId w:val="8"/>
  </w:num>
  <w:num w:numId="10">
    <w:abstractNumId w:val="6"/>
  </w:num>
  <w:num w:numId="11">
    <w:abstractNumId w:val="14"/>
  </w:num>
  <w:num w:numId="12">
    <w:abstractNumId w:val="9"/>
  </w:num>
  <w:num w:numId="13">
    <w:abstractNumId w:val="2"/>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B4616E8-4D72-465C-B4CA-83523F04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sz w:val="24"/>
      <w:szCs w:val="24"/>
      <w:lang w:val="fr-FR" w:eastAsia="fr-FR"/>
    </w:rPr>
  </w:style>
  <w:style w:type="character" w:styleId="Numrodepage">
    <w:name w:val="page number"/>
    <w:basedOn w:val="Policepardfaut"/>
    <w:uiPriority w:val="99"/>
    <w:rPr>
      <w:rFonts w:cs="Times New Roman"/>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sz w:val="20"/>
      <w:szCs w:val="20"/>
      <w:lang w:val="fr-FR" w:eastAsia="fr-FR"/>
    </w:rPr>
  </w:style>
  <w:style w:type="character" w:styleId="Appelnotedebasdep">
    <w:name w:val="footnote reference"/>
    <w:basedOn w:val="Policepardfaut"/>
    <w:uiPriority w:val="99"/>
    <w:semiHidden/>
    <w:rPr>
      <w:rFonts w:cs="Times New Roman"/>
      <w:vertAlign w:val="superscript"/>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sz w:val="0"/>
      <w:szCs w:val="0"/>
      <w:lang w:val="fr-FR" w:eastAsia="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fr-FR" w:eastAsia="fr-FR"/>
    </w:rPr>
  </w:style>
  <w:style w:type="paragraph" w:styleId="NormalWeb">
    <w:name w:val="Normal (Web)"/>
    <w:basedOn w:val="Normal"/>
    <w:uiPriority w:val="99"/>
    <w:unhideWhenUsed/>
    <w:rPr>
      <w:rFonts w:eastAsia="Calibri"/>
      <w:lang w:val="fr-BE" w:eastAsia="fr-BE"/>
    </w:rPr>
  </w:style>
  <w:style w:type="character" w:styleId="lev">
    <w:name w:val="Strong"/>
    <w:basedOn w:val="Policepardfau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07169">
      <w:bodyDiv w:val="1"/>
      <w:marLeft w:val="0"/>
      <w:marRight w:val="0"/>
      <w:marTop w:val="0"/>
      <w:marBottom w:val="0"/>
      <w:divBdr>
        <w:top w:val="none" w:sz="0" w:space="0" w:color="auto"/>
        <w:left w:val="none" w:sz="0" w:space="0" w:color="auto"/>
        <w:bottom w:val="none" w:sz="0" w:space="0" w:color="auto"/>
        <w:right w:val="none" w:sz="0" w:space="0" w:color="auto"/>
      </w:divBdr>
    </w:div>
    <w:div w:id="1557624099">
      <w:marLeft w:val="0"/>
      <w:marRight w:val="0"/>
      <w:marTop w:val="0"/>
      <w:marBottom w:val="0"/>
      <w:divBdr>
        <w:top w:val="none" w:sz="0" w:space="0" w:color="auto"/>
        <w:left w:val="none" w:sz="0" w:space="0" w:color="auto"/>
        <w:bottom w:val="none" w:sz="0" w:space="0" w:color="auto"/>
        <w:right w:val="none" w:sz="0" w:space="0" w:color="auto"/>
      </w:divBdr>
    </w:div>
    <w:div w:id="1557624100">
      <w:marLeft w:val="0"/>
      <w:marRight w:val="0"/>
      <w:marTop w:val="0"/>
      <w:marBottom w:val="0"/>
      <w:divBdr>
        <w:top w:val="none" w:sz="0" w:space="0" w:color="auto"/>
        <w:left w:val="none" w:sz="0" w:space="0" w:color="auto"/>
        <w:bottom w:val="none" w:sz="0" w:space="0" w:color="auto"/>
        <w:right w:val="none" w:sz="0" w:space="0" w:color="auto"/>
      </w:divBdr>
    </w:div>
    <w:div w:id="1557624101">
      <w:marLeft w:val="0"/>
      <w:marRight w:val="0"/>
      <w:marTop w:val="0"/>
      <w:marBottom w:val="0"/>
      <w:divBdr>
        <w:top w:val="none" w:sz="0" w:space="0" w:color="auto"/>
        <w:left w:val="none" w:sz="0" w:space="0" w:color="auto"/>
        <w:bottom w:val="none" w:sz="0" w:space="0" w:color="auto"/>
        <w:right w:val="none" w:sz="0" w:space="0" w:color="auto"/>
      </w:divBdr>
    </w:div>
    <w:div w:id="16283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ignement.be/index.php?page=2813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seignement.be" TargetMode="External"/><Relationship Id="rId4" Type="http://schemas.openxmlformats.org/officeDocument/2006/relationships/settings" Target="settings.xml"/><Relationship Id="rId9" Type="http://schemas.openxmlformats.org/officeDocument/2006/relationships/hyperlink" Target="http://www.federation-wallonie-bruxelles.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5C6B8-73E0-4C54-B76E-9B0888F8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1656</Words>
  <Characters>9112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Prix mémoire de l’OPC</vt:lpstr>
    </vt:vector>
  </TitlesOfParts>
  <Company>ETNIC</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mémoire de l’OPC</dc:title>
  <dc:creator>ETNIC</dc:creator>
  <cp:lastModifiedBy>LIBERTIAUX Geoffroy</cp:lastModifiedBy>
  <cp:revision>18</cp:revision>
  <cp:lastPrinted>2018-05-07T12:26:00Z</cp:lastPrinted>
  <dcterms:created xsi:type="dcterms:W3CDTF">2019-02-08T15:45:00Z</dcterms:created>
  <dcterms:modified xsi:type="dcterms:W3CDTF">2019-03-13T12:31:00Z</dcterms:modified>
</cp:coreProperties>
</file>