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ind w:left="-240" w:right="-177"/>
        <w:jc w:val="center"/>
        <w:rPr>
          <w:rFonts w:ascii="Calibri" w:hAnsi="Calibri" w:cs="SegoeUI-Bold"/>
          <w:b/>
          <w:sz w:val="32"/>
          <w:szCs w:val="32"/>
        </w:rPr>
      </w:pPr>
      <w:r>
        <w:rPr>
          <w:rFonts w:ascii="SegoeUI" w:hAnsi="SegoeUI" w:cs="SegoeUI"/>
          <w:noProof/>
          <w:sz w:val="22"/>
          <w:szCs w:val="22"/>
          <w:lang w:val="fr-BE" w:eastAsia="fr-BE"/>
        </w:rPr>
        <w:drawing>
          <wp:anchor distT="0" distB="0" distL="114300" distR="114300" simplePos="0" relativeHeight="251658240" behindDoc="1" locked="0" layoutInCell="1" allowOverlap="1">
            <wp:simplePos x="0" y="0"/>
            <wp:positionH relativeFrom="column">
              <wp:posOffset>99695</wp:posOffset>
            </wp:positionH>
            <wp:positionV relativeFrom="paragraph">
              <wp:posOffset>-728980</wp:posOffset>
            </wp:positionV>
            <wp:extent cx="866775" cy="86677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WB.png"/>
                    <pic:cNvPicPr/>
                  </pic:nvPicPr>
                  <pic:blipFill>
                    <a:blip r:embed="rId8">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SegoeUI-Bold"/>
          <w:b/>
          <w:sz w:val="32"/>
          <w:szCs w:val="32"/>
        </w:rPr>
        <w:t>Prix du mémoire en éducation</w:t>
      </w:r>
    </w:p>
    <w:p>
      <w:pPr>
        <w:ind w:left="-240" w:right="-177"/>
        <w:jc w:val="center"/>
        <w:rPr>
          <w:rFonts w:ascii="Calibri" w:hAnsi="Calibri" w:cs="SegoeUI-Bold"/>
          <w:b/>
          <w:sz w:val="32"/>
          <w:szCs w:val="32"/>
        </w:rPr>
      </w:pPr>
    </w:p>
    <w:p>
      <w:pPr>
        <w:ind w:left="-240" w:right="-177"/>
        <w:jc w:val="center"/>
        <w:rPr>
          <w:rFonts w:ascii="Calibri" w:hAnsi="Calibri" w:cs="SegoeUI-Bold"/>
          <w:b/>
          <w:sz w:val="32"/>
          <w:szCs w:val="32"/>
        </w:rPr>
      </w:pPr>
      <w:proofErr w:type="gramStart"/>
      <w:r>
        <w:rPr>
          <w:rFonts w:ascii="Calibri" w:hAnsi="Calibri" w:cs="SegoeUI-Bold"/>
          <w:b/>
          <w:sz w:val="32"/>
          <w:szCs w:val="32"/>
        </w:rPr>
        <w:t>de</w:t>
      </w:r>
      <w:proofErr w:type="gramEnd"/>
      <w:r>
        <w:rPr>
          <w:rFonts w:ascii="Calibri" w:hAnsi="Calibri" w:cs="SegoeUI-Bold"/>
          <w:b/>
          <w:sz w:val="32"/>
          <w:szCs w:val="32"/>
        </w:rPr>
        <w:t xml:space="preserve"> la Fédération Wallonie-Bruxelles</w:t>
      </w:r>
      <w:r>
        <w:rPr>
          <w:rStyle w:val="Appelnotedebasdep"/>
          <w:rFonts w:ascii="Calibri" w:hAnsi="Calibri"/>
          <w:b/>
          <w:sz w:val="32"/>
          <w:szCs w:val="32"/>
        </w:rPr>
        <w:footnoteReference w:id="1"/>
      </w:r>
    </w:p>
    <w:p>
      <w:pPr>
        <w:pBdr>
          <w:bottom w:val="single" w:sz="4" w:space="1" w:color="auto"/>
        </w:pBdr>
        <w:tabs>
          <w:tab w:val="left" w:pos="552"/>
          <w:tab w:val="center" w:pos="3600"/>
        </w:tabs>
        <w:autoSpaceDE w:val="0"/>
        <w:autoSpaceDN w:val="0"/>
        <w:adjustRightInd w:val="0"/>
        <w:ind w:left="-240" w:right="-177" w:firstLine="119"/>
        <w:jc w:val="center"/>
        <w:rPr>
          <w:rFonts w:ascii="SegoeUI" w:hAnsi="SegoeUI" w:cs="SegoeUI"/>
          <w:sz w:val="22"/>
          <w:szCs w:val="22"/>
        </w:rPr>
      </w:pPr>
    </w:p>
    <w:p>
      <w:pPr>
        <w:tabs>
          <w:tab w:val="left" w:pos="552"/>
          <w:tab w:val="center" w:pos="3600"/>
        </w:tabs>
        <w:autoSpaceDE w:val="0"/>
        <w:autoSpaceDN w:val="0"/>
        <w:adjustRightInd w:val="0"/>
        <w:ind w:left="-240" w:right="-177" w:firstLine="119"/>
        <w:jc w:val="center"/>
        <w:rPr>
          <w:rFonts w:ascii="SegoeUI" w:hAnsi="SegoeUI" w:cs="SegoeUI"/>
          <w:sz w:val="22"/>
          <w:szCs w:val="22"/>
        </w:rPr>
      </w:pPr>
    </w:p>
    <w:p>
      <w:pPr>
        <w:tabs>
          <w:tab w:val="left" w:pos="552"/>
          <w:tab w:val="center" w:pos="3600"/>
        </w:tabs>
        <w:autoSpaceDE w:val="0"/>
        <w:autoSpaceDN w:val="0"/>
        <w:adjustRightInd w:val="0"/>
        <w:ind w:left="-240" w:right="-177" w:firstLine="119"/>
        <w:jc w:val="center"/>
        <w:rPr>
          <w:rFonts w:ascii="SegoeUI" w:hAnsi="SegoeUI" w:cs="SegoeUI"/>
          <w:sz w:val="22"/>
          <w:szCs w:val="22"/>
        </w:rPr>
      </w:pPr>
    </w:p>
    <w:p>
      <w:pPr>
        <w:tabs>
          <w:tab w:val="left" w:pos="552"/>
          <w:tab w:val="center" w:pos="3600"/>
        </w:tabs>
        <w:autoSpaceDE w:val="0"/>
        <w:autoSpaceDN w:val="0"/>
        <w:adjustRightInd w:val="0"/>
        <w:ind w:left="-240" w:right="-177" w:firstLine="119"/>
        <w:jc w:val="center"/>
        <w:rPr>
          <w:rFonts w:ascii="SegoeUI" w:hAnsi="SegoeUI" w:cs="SegoeUI"/>
          <w:sz w:val="22"/>
          <w:szCs w:val="22"/>
        </w:rPr>
      </w:pPr>
    </w:p>
    <w:p>
      <w:pPr>
        <w:autoSpaceDE w:val="0"/>
        <w:autoSpaceDN w:val="0"/>
        <w:adjustRightInd w:val="0"/>
        <w:spacing w:before="120"/>
        <w:ind w:right="-119"/>
        <w:jc w:val="center"/>
        <w:rPr>
          <w:rFonts w:ascii="Calibri" w:hAnsi="Calibri" w:cs="Courier New"/>
          <w:b/>
        </w:rPr>
      </w:pPr>
      <w:r>
        <w:rPr>
          <w:rFonts w:ascii="Calibri" w:hAnsi="Calibri" w:cs="Courier New"/>
          <w:b/>
        </w:rPr>
        <w:t>RÈGLEMENT</w:t>
      </w:r>
    </w:p>
    <w:p>
      <w:pPr>
        <w:autoSpaceDE w:val="0"/>
        <w:autoSpaceDN w:val="0"/>
        <w:adjustRightInd w:val="0"/>
        <w:ind w:right="-120"/>
        <w:jc w:val="both"/>
        <w:rPr>
          <w:rFonts w:ascii="Calibri" w:hAnsi="Calibri" w:cs="Courier New"/>
        </w:rPr>
      </w:pPr>
    </w:p>
    <w:p>
      <w:pPr>
        <w:autoSpaceDE w:val="0"/>
        <w:autoSpaceDN w:val="0"/>
        <w:adjustRightInd w:val="0"/>
        <w:ind w:right="-120"/>
        <w:jc w:val="both"/>
        <w:rPr>
          <w:rFonts w:ascii="Calibri" w:hAnsi="Calibri" w:cs="Courier New"/>
        </w:rPr>
      </w:pPr>
    </w:p>
    <w:p>
      <w:pPr>
        <w:autoSpaceDE w:val="0"/>
        <w:autoSpaceDN w:val="0"/>
        <w:adjustRightInd w:val="0"/>
        <w:ind w:right="-120"/>
        <w:jc w:val="both"/>
        <w:rPr>
          <w:rFonts w:ascii="Calibri" w:hAnsi="Calibri" w:cs="Courier New"/>
          <w:b/>
        </w:rPr>
      </w:pPr>
      <w:r>
        <w:rPr>
          <w:rFonts w:ascii="Calibri" w:hAnsi="Calibri" w:cs="Courier New"/>
        </w:rPr>
        <w:t xml:space="preserve">L’Administration générale de l’Enseignement (AGE) crée un prix du mémoire en éducation dont le règlement est le suivant : </w:t>
      </w:r>
    </w:p>
    <w:p>
      <w:pPr>
        <w:autoSpaceDE w:val="0"/>
        <w:autoSpaceDN w:val="0"/>
        <w:adjustRightInd w:val="0"/>
        <w:ind w:right="-119"/>
        <w:jc w:val="both"/>
        <w:rPr>
          <w:rFonts w:ascii="Calibri" w:hAnsi="Calibri" w:cs="Courier New"/>
        </w:rPr>
      </w:pPr>
    </w:p>
    <w:p>
      <w:pPr>
        <w:autoSpaceDE w:val="0"/>
        <w:autoSpaceDN w:val="0"/>
        <w:adjustRightInd w:val="0"/>
        <w:ind w:right="-119"/>
        <w:jc w:val="both"/>
        <w:rPr>
          <w:rFonts w:ascii="Calibri" w:hAnsi="Calibri" w:cs="Courier New"/>
        </w:rPr>
      </w:pPr>
    </w:p>
    <w:p>
      <w:pPr>
        <w:autoSpaceDE w:val="0"/>
        <w:autoSpaceDN w:val="0"/>
        <w:adjustRightInd w:val="0"/>
        <w:jc w:val="center"/>
        <w:rPr>
          <w:rFonts w:ascii="Calibri" w:hAnsi="Calibri" w:cs="Courier New"/>
          <w:b/>
        </w:rPr>
      </w:pPr>
      <w:r>
        <w:rPr>
          <w:rFonts w:ascii="Calibri" w:hAnsi="Calibri" w:cs="Courier New"/>
          <w:b/>
        </w:rPr>
        <w:t xml:space="preserve">Chapitre premier : </w:t>
      </w:r>
    </w:p>
    <w:p>
      <w:pPr>
        <w:autoSpaceDE w:val="0"/>
        <w:autoSpaceDN w:val="0"/>
        <w:adjustRightInd w:val="0"/>
        <w:jc w:val="center"/>
        <w:rPr>
          <w:rFonts w:ascii="Calibri" w:hAnsi="Calibri" w:cs="Courier New"/>
        </w:rPr>
      </w:pPr>
      <w:r>
        <w:rPr>
          <w:rFonts w:ascii="Calibri" w:hAnsi="Calibri" w:cs="Courier New"/>
          <w:b/>
        </w:rPr>
        <w:t>objet, montant, périodicité et publicité</w:t>
      </w:r>
    </w:p>
    <w:p>
      <w:pPr>
        <w:autoSpaceDE w:val="0"/>
        <w:autoSpaceDN w:val="0"/>
        <w:adjustRightInd w:val="0"/>
        <w:jc w:val="both"/>
        <w:rPr>
          <w:rFonts w:ascii="Calibri" w:hAnsi="Calibri" w:cs="Courier New"/>
        </w:rPr>
      </w:pPr>
    </w:p>
    <w:p>
      <w:pPr>
        <w:autoSpaceDE w:val="0"/>
        <w:autoSpaceDN w:val="0"/>
        <w:adjustRightInd w:val="0"/>
        <w:jc w:val="both"/>
        <w:rPr>
          <w:rFonts w:ascii="Calibri" w:hAnsi="Calibri" w:cs="Courier New"/>
          <w:b/>
        </w:rPr>
      </w:pPr>
      <w:r>
        <w:rPr>
          <w:rFonts w:ascii="Calibri" w:hAnsi="Calibri" w:cs="Courier New"/>
          <w:b/>
        </w:rPr>
        <w:t xml:space="preserve">Article 1er : objet </w:t>
      </w:r>
    </w:p>
    <w:p>
      <w:pPr>
        <w:autoSpaceDE w:val="0"/>
        <w:autoSpaceDN w:val="0"/>
        <w:adjustRightInd w:val="0"/>
        <w:jc w:val="both"/>
        <w:rPr>
          <w:rFonts w:ascii="Calibri" w:hAnsi="Calibri" w:cs="Courier New"/>
          <w:b/>
        </w:rPr>
      </w:pPr>
      <w:r>
        <w:rPr>
          <w:rFonts w:ascii="Calibri" w:hAnsi="Calibri" w:cs="Courier New"/>
        </w:rPr>
        <w:tab/>
      </w:r>
    </w:p>
    <w:p>
      <w:pPr>
        <w:pStyle w:val="Notedebasdepage"/>
        <w:jc w:val="both"/>
        <w:rPr>
          <w:rFonts w:ascii="Calibri" w:hAnsi="Calibri"/>
          <w:sz w:val="24"/>
          <w:lang w:val="fr-BE"/>
        </w:rPr>
      </w:pPr>
      <w:r>
        <w:rPr>
          <w:rFonts w:ascii="Calibri" w:hAnsi="Calibri" w:cs="Courier New"/>
          <w:b/>
          <w:sz w:val="24"/>
        </w:rPr>
        <w:t>§1  –</w:t>
      </w:r>
      <w:r>
        <w:rPr>
          <w:rFonts w:ascii="Calibri" w:hAnsi="Calibri" w:cs="Courier New"/>
          <w:sz w:val="24"/>
        </w:rPr>
        <w:t xml:space="preserve"> Sur la base d’un appel public à participation, le prix du mémoire  en éducation est décerné via un concours. Il vise à récompenser un travail de fin d’études supérieures (mémoire/TFE), rédigé en langue française, qui apporte </w:t>
      </w:r>
      <w:r>
        <w:rPr>
          <w:rFonts w:ascii="Calibri" w:hAnsi="Calibri" w:cs="Courier New"/>
          <w:b/>
          <w:sz w:val="24"/>
        </w:rPr>
        <w:t>une contribution pertinente et originale à l’étude des politiques éducatives et des pédagogies de l’enseignement obligatoire (ordinaire et/ou spécialisé) et de l’enseignement supérieur en  Fédération Wallonie-Bruxelles.</w:t>
      </w:r>
    </w:p>
    <w:p>
      <w:pPr>
        <w:autoSpaceDE w:val="0"/>
        <w:autoSpaceDN w:val="0"/>
        <w:adjustRightInd w:val="0"/>
        <w:jc w:val="both"/>
        <w:rPr>
          <w:rFonts w:ascii="Calibri" w:hAnsi="Calibri" w:cs="Courier New"/>
          <w:szCs w:val="20"/>
        </w:rPr>
      </w:pPr>
    </w:p>
    <w:p>
      <w:pPr>
        <w:autoSpaceDE w:val="0"/>
        <w:autoSpaceDN w:val="0"/>
        <w:adjustRightInd w:val="0"/>
        <w:jc w:val="both"/>
        <w:rPr>
          <w:rFonts w:ascii="Calibri" w:hAnsi="Calibri" w:cs="Courier New"/>
          <w:b/>
        </w:rPr>
      </w:pPr>
      <w:r>
        <w:rPr>
          <w:rFonts w:ascii="Calibri" w:hAnsi="Calibri" w:cs="Courier New"/>
          <w:b/>
        </w:rPr>
        <w:t>§2  – Le prix du mémoire en éducation  s’adresse aux étudiantes  et étudiants ayant réalisé un master à finalité didactique, quelle que soit la discipline, et à celles et ceux des Universités, des Hautes Ecoles et des Ecoles supérieures des arts qui ont  prioritairement, mais non exclusivement,  réalisé un cursus en lien avec :  </w:t>
      </w:r>
    </w:p>
    <w:p>
      <w:pPr>
        <w:autoSpaceDE w:val="0"/>
        <w:autoSpaceDN w:val="0"/>
        <w:adjustRightInd w:val="0"/>
        <w:jc w:val="both"/>
        <w:rPr>
          <w:rFonts w:ascii="Calibri" w:hAnsi="Calibri" w:cs="Courier New"/>
          <w:b/>
        </w:rPr>
      </w:pPr>
    </w:p>
    <w:p>
      <w:pPr>
        <w:pStyle w:val="NormalWeb"/>
        <w:jc w:val="both"/>
        <w:rPr>
          <w:rFonts w:ascii="Calibri" w:hAnsi="Calibri" w:cs="Calibri"/>
          <w:color w:val="000000"/>
        </w:rPr>
      </w:pPr>
      <w:r>
        <w:rPr>
          <w:rFonts w:ascii="Calibri" w:hAnsi="Calibri" w:cs="Calibri"/>
          <w:color w:val="000000"/>
        </w:rPr>
        <w:t>-          des sciences psychologiques ;</w:t>
      </w:r>
    </w:p>
    <w:p>
      <w:pPr>
        <w:pStyle w:val="NormalWeb"/>
        <w:jc w:val="both"/>
        <w:rPr>
          <w:rFonts w:ascii="Calibri" w:hAnsi="Calibri" w:cs="Calibri"/>
          <w:color w:val="000000"/>
        </w:rPr>
      </w:pPr>
      <w:r>
        <w:rPr>
          <w:rFonts w:ascii="Calibri" w:hAnsi="Calibri" w:cs="Calibri"/>
          <w:color w:val="000000"/>
        </w:rPr>
        <w:t>-          des sciences de l’éducation et de la pédagogie ;</w:t>
      </w:r>
    </w:p>
    <w:p>
      <w:pPr>
        <w:pStyle w:val="NormalWeb"/>
        <w:jc w:val="both"/>
        <w:rPr>
          <w:rFonts w:ascii="Calibri" w:hAnsi="Calibri" w:cs="Calibri"/>
          <w:color w:val="000000"/>
        </w:rPr>
      </w:pPr>
      <w:r>
        <w:rPr>
          <w:rFonts w:ascii="Calibri" w:hAnsi="Calibri" w:cs="Calibri"/>
          <w:color w:val="000000"/>
        </w:rPr>
        <w:t>-          de la logopédie ;</w:t>
      </w:r>
    </w:p>
    <w:p>
      <w:pPr>
        <w:pStyle w:val="NormalWeb"/>
        <w:jc w:val="both"/>
        <w:rPr>
          <w:rFonts w:ascii="Calibri" w:hAnsi="Calibri" w:cs="Calibri"/>
          <w:color w:val="000000"/>
        </w:rPr>
      </w:pPr>
      <w:r>
        <w:rPr>
          <w:rFonts w:ascii="Calibri" w:hAnsi="Calibri" w:cs="Calibri"/>
          <w:color w:val="000000"/>
        </w:rPr>
        <w:t>-          de la sociologie ;</w:t>
      </w:r>
    </w:p>
    <w:p>
      <w:pPr>
        <w:autoSpaceDE w:val="0"/>
        <w:autoSpaceDN w:val="0"/>
        <w:adjustRightInd w:val="0"/>
        <w:jc w:val="both"/>
        <w:rPr>
          <w:rFonts w:ascii="Calibri" w:hAnsi="Calibri" w:cs="Courier New"/>
          <w:szCs w:val="20"/>
        </w:rPr>
      </w:pPr>
      <w:r>
        <w:rPr>
          <w:rFonts w:ascii="Calibri" w:hAnsi="Calibri" w:cs="Calibri"/>
          <w:color w:val="000000"/>
        </w:rPr>
        <w:t>-          de la communication et des arts du spectacle. </w:t>
      </w:r>
    </w:p>
    <w:p>
      <w:pPr>
        <w:autoSpaceDE w:val="0"/>
        <w:autoSpaceDN w:val="0"/>
        <w:adjustRightInd w:val="0"/>
        <w:jc w:val="both"/>
        <w:rPr>
          <w:rFonts w:ascii="Calibri" w:hAnsi="Calibri" w:cs="Courier New"/>
          <w:szCs w:val="20"/>
        </w:rPr>
      </w:pPr>
    </w:p>
    <w:p>
      <w:pPr>
        <w:autoSpaceDE w:val="0"/>
        <w:autoSpaceDN w:val="0"/>
        <w:adjustRightInd w:val="0"/>
        <w:ind w:left="360"/>
        <w:jc w:val="both"/>
        <w:rPr>
          <w:rFonts w:ascii="Calibri" w:hAnsi="Calibri" w:cs="Courier New"/>
          <w:szCs w:val="20"/>
        </w:rPr>
      </w:pPr>
    </w:p>
    <w:p>
      <w:pPr>
        <w:autoSpaceDE w:val="0"/>
        <w:autoSpaceDN w:val="0"/>
        <w:adjustRightInd w:val="0"/>
        <w:jc w:val="both"/>
        <w:rPr>
          <w:rFonts w:ascii="Calibri" w:hAnsi="Calibri" w:cs="Courier New"/>
          <w:szCs w:val="20"/>
        </w:rPr>
      </w:pPr>
      <w:r>
        <w:rPr>
          <w:rFonts w:ascii="Calibri" w:hAnsi="Calibri" w:cs="Courier New"/>
          <w:b/>
        </w:rPr>
        <w:t xml:space="preserve"> §3 </w:t>
      </w:r>
      <w:r>
        <w:rPr>
          <w:rFonts w:ascii="Calibri" w:hAnsi="Calibri" w:cs="Courier New"/>
          <w:szCs w:val="20"/>
        </w:rPr>
        <w:t xml:space="preserve">La problématique développée dans le travail peut être étudiée à partir de différentes approches éventuellement combinées : didactique, historique, philosophique, économique, psychologique, médicale, sociologique, etc. </w:t>
      </w:r>
    </w:p>
    <w:p>
      <w:pPr>
        <w:autoSpaceDE w:val="0"/>
        <w:autoSpaceDN w:val="0"/>
        <w:adjustRightInd w:val="0"/>
        <w:jc w:val="both"/>
        <w:rPr>
          <w:rFonts w:ascii="Calibri" w:hAnsi="Calibri" w:cs="Courier New"/>
          <w:szCs w:val="20"/>
        </w:rPr>
      </w:pPr>
    </w:p>
    <w:p>
      <w:pPr>
        <w:autoSpaceDE w:val="0"/>
        <w:autoSpaceDN w:val="0"/>
        <w:adjustRightInd w:val="0"/>
        <w:jc w:val="both"/>
        <w:rPr>
          <w:rFonts w:ascii="Calibri" w:hAnsi="Calibri" w:cs="Courier New"/>
          <w:strike/>
          <w:szCs w:val="20"/>
        </w:rPr>
      </w:pPr>
      <w:r>
        <w:rPr>
          <w:rFonts w:ascii="Calibri" w:hAnsi="Calibri" w:cs="Courier New"/>
          <w:szCs w:val="20"/>
        </w:rPr>
        <w:t xml:space="preserve"> </w:t>
      </w:r>
      <w:r>
        <w:rPr>
          <w:rFonts w:ascii="Calibri" w:hAnsi="Calibri" w:cs="Courier New"/>
          <w:b/>
        </w:rPr>
        <w:t xml:space="preserve">§4 </w:t>
      </w:r>
      <w:r>
        <w:rPr>
          <w:rFonts w:ascii="Calibri" w:hAnsi="Calibri" w:cs="Courier New"/>
          <w:szCs w:val="20"/>
        </w:rPr>
        <w:t xml:space="preserve"> </w:t>
      </w:r>
      <w:r>
        <w:rPr>
          <w:rFonts w:ascii="Calibri" w:hAnsi="Calibri" w:cs="Courier New"/>
          <w:b/>
        </w:rPr>
        <w:t>–</w:t>
      </w:r>
      <w:r>
        <w:rPr>
          <w:rFonts w:ascii="Calibri" w:hAnsi="Calibri" w:cs="Courier New"/>
        </w:rPr>
        <w:t xml:space="preserve"> </w:t>
      </w:r>
      <w:r>
        <w:rPr>
          <w:rFonts w:ascii="Calibri" w:hAnsi="Calibri" w:cs="Courier New"/>
          <w:szCs w:val="20"/>
        </w:rPr>
        <w:t>Lorsque le travail porte sur une politique, sur une situation ou sur une pratique observée</w:t>
      </w:r>
      <w:r>
        <w:rPr>
          <w:rFonts w:ascii="Calibri" w:hAnsi="Calibri" w:cs="Courier New"/>
          <w:strike/>
          <w:szCs w:val="20"/>
        </w:rPr>
        <w:t xml:space="preserve"> </w:t>
      </w:r>
      <w:r>
        <w:rPr>
          <w:rFonts w:ascii="Calibri" w:hAnsi="Calibri" w:cs="Courier New"/>
          <w:szCs w:val="20"/>
        </w:rPr>
        <w:t xml:space="preserve">en dehors de la Wallonie ou de Bruxelles, il doit démontrer explicitement et de manière </w:t>
      </w:r>
      <w:r>
        <w:rPr>
          <w:rFonts w:ascii="Calibri" w:hAnsi="Calibri" w:cs="Courier New"/>
          <w:szCs w:val="20"/>
        </w:rPr>
        <w:lastRenderedPageBreak/>
        <w:t>argumentée la transférabilité des acquis de son analyse au bénéfice du système éducatif en Fédération Wallonie-Bruxelles.</w:t>
      </w:r>
      <w:r>
        <w:rPr>
          <w:rFonts w:ascii="Calibri" w:hAnsi="Calibri" w:cs="Courier New"/>
          <w:strike/>
          <w:szCs w:val="20"/>
        </w:rPr>
        <w:t xml:space="preserve"> </w:t>
      </w:r>
    </w:p>
    <w:p>
      <w:pPr>
        <w:autoSpaceDE w:val="0"/>
        <w:autoSpaceDN w:val="0"/>
        <w:adjustRightInd w:val="0"/>
        <w:jc w:val="both"/>
        <w:rPr>
          <w:rFonts w:ascii="Calibri" w:hAnsi="Calibri" w:cs="Courier New"/>
          <w:szCs w:val="20"/>
        </w:rPr>
      </w:pPr>
    </w:p>
    <w:p>
      <w:pPr>
        <w:autoSpaceDE w:val="0"/>
        <w:autoSpaceDN w:val="0"/>
        <w:adjustRightInd w:val="0"/>
        <w:jc w:val="both"/>
        <w:rPr>
          <w:rFonts w:ascii="Calibri" w:hAnsi="Calibri" w:cs="Courier New"/>
          <w:szCs w:val="20"/>
        </w:rPr>
      </w:pPr>
    </w:p>
    <w:p>
      <w:pPr>
        <w:autoSpaceDE w:val="0"/>
        <w:autoSpaceDN w:val="0"/>
        <w:adjustRightInd w:val="0"/>
        <w:jc w:val="both"/>
        <w:rPr>
          <w:rFonts w:ascii="Calibri" w:hAnsi="Calibri" w:cs="Courier New"/>
          <w:b/>
          <w:szCs w:val="20"/>
        </w:rPr>
      </w:pPr>
      <w:r>
        <w:rPr>
          <w:rFonts w:ascii="Calibri" w:hAnsi="Calibri" w:cs="Courier New"/>
          <w:b/>
          <w:szCs w:val="20"/>
        </w:rPr>
        <w:t>Article 2 –  Montant et périodicité</w:t>
      </w:r>
    </w:p>
    <w:p>
      <w:pPr>
        <w:autoSpaceDE w:val="0"/>
        <w:autoSpaceDN w:val="0"/>
        <w:adjustRightInd w:val="0"/>
        <w:jc w:val="both"/>
        <w:rPr>
          <w:rFonts w:ascii="Calibri" w:hAnsi="Calibri" w:cs="Courier New"/>
          <w:szCs w:val="20"/>
        </w:rPr>
      </w:pPr>
    </w:p>
    <w:p>
      <w:pPr>
        <w:autoSpaceDE w:val="0"/>
        <w:autoSpaceDN w:val="0"/>
        <w:adjustRightInd w:val="0"/>
        <w:jc w:val="both"/>
        <w:rPr>
          <w:rFonts w:ascii="Calibri" w:hAnsi="Calibri" w:cs="Courier New"/>
          <w:szCs w:val="20"/>
        </w:rPr>
      </w:pPr>
      <w:r>
        <w:rPr>
          <w:rFonts w:ascii="Calibri" w:hAnsi="Calibri" w:cs="Courier New"/>
          <w:b/>
          <w:szCs w:val="20"/>
        </w:rPr>
        <w:t>§1  –</w:t>
      </w:r>
      <w:r>
        <w:rPr>
          <w:rFonts w:ascii="Calibri" w:hAnsi="Calibri" w:cs="Courier New"/>
          <w:szCs w:val="20"/>
        </w:rPr>
        <w:t xml:space="preserve">  Le prix, d’une valeur de 1 000 (mille) euros, est décerné tous les ans. </w:t>
      </w:r>
    </w:p>
    <w:p>
      <w:pPr>
        <w:autoSpaceDE w:val="0"/>
        <w:autoSpaceDN w:val="0"/>
        <w:adjustRightInd w:val="0"/>
        <w:jc w:val="both"/>
        <w:rPr>
          <w:rFonts w:ascii="Calibri" w:hAnsi="Calibri" w:cs="Courier New"/>
          <w:szCs w:val="20"/>
        </w:rPr>
      </w:pPr>
    </w:p>
    <w:p>
      <w:pPr>
        <w:autoSpaceDE w:val="0"/>
        <w:autoSpaceDN w:val="0"/>
        <w:adjustRightInd w:val="0"/>
        <w:jc w:val="both"/>
        <w:rPr>
          <w:rFonts w:ascii="Calibri" w:hAnsi="Calibri" w:cs="Courier New"/>
          <w:szCs w:val="20"/>
        </w:rPr>
      </w:pPr>
      <w:r>
        <w:rPr>
          <w:rFonts w:ascii="Calibri" w:hAnsi="Calibri" w:cs="Courier New"/>
          <w:b/>
          <w:szCs w:val="20"/>
        </w:rPr>
        <w:t xml:space="preserve">§2 – </w:t>
      </w:r>
      <w:r>
        <w:rPr>
          <w:rFonts w:ascii="Calibri" w:hAnsi="Calibri" w:cs="Courier New"/>
          <w:szCs w:val="20"/>
        </w:rPr>
        <w:t xml:space="preserve">Pour un mémoire ou travail de fin d’études présenté dans le cadre du concours, le prix ne peut être accordé qu’une seule fois. </w:t>
      </w:r>
    </w:p>
    <w:p>
      <w:pPr>
        <w:autoSpaceDE w:val="0"/>
        <w:autoSpaceDN w:val="0"/>
        <w:adjustRightInd w:val="0"/>
        <w:jc w:val="both"/>
        <w:rPr>
          <w:rFonts w:ascii="Calibri" w:hAnsi="Calibri" w:cs="Courier New"/>
          <w:szCs w:val="20"/>
        </w:rPr>
      </w:pPr>
    </w:p>
    <w:p>
      <w:pPr>
        <w:autoSpaceDE w:val="0"/>
        <w:autoSpaceDN w:val="0"/>
        <w:adjustRightInd w:val="0"/>
        <w:jc w:val="both"/>
        <w:rPr>
          <w:rFonts w:ascii="Calibri" w:hAnsi="Calibri" w:cs="Courier New"/>
          <w:szCs w:val="20"/>
        </w:rPr>
      </w:pPr>
      <w:r>
        <w:rPr>
          <w:rFonts w:ascii="Calibri" w:hAnsi="Calibri" w:cs="Courier New"/>
          <w:b/>
          <w:szCs w:val="20"/>
        </w:rPr>
        <w:t>§3  –</w:t>
      </w:r>
      <w:r>
        <w:rPr>
          <w:rFonts w:ascii="Calibri" w:hAnsi="Calibri" w:cs="Courier New"/>
          <w:szCs w:val="20"/>
        </w:rPr>
        <w:t xml:space="preserve">  Si les travaux présentés lors d’une édition ne rencontrent pas de manière satisfaisante les critères d’attribution, le Jury se réserve le droit de ne pas attribuer de prix cette année-là.</w:t>
      </w:r>
    </w:p>
    <w:p>
      <w:pPr>
        <w:autoSpaceDE w:val="0"/>
        <w:autoSpaceDN w:val="0"/>
        <w:adjustRightInd w:val="0"/>
        <w:jc w:val="both"/>
        <w:rPr>
          <w:rFonts w:ascii="Calibri" w:hAnsi="Calibri" w:cs="Courier New"/>
          <w:szCs w:val="20"/>
        </w:rPr>
      </w:pPr>
    </w:p>
    <w:p>
      <w:pPr>
        <w:autoSpaceDE w:val="0"/>
        <w:autoSpaceDN w:val="0"/>
        <w:adjustRightInd w:val="0"/>
        <w:jc w:val="both"/>
        <w:rPr>
          <w:rFonts w:ascii="Calibri" w:hAnsi="Calibri" w:cs="Courier New"/>
          <w:b/>
          <w:szCs w:val="20"/>
        </w:rPr>
      </w:pPr>
      <w:r>
        <w:rPr>
          <w:rFonts w:ascii="Calibri" w:hAnsi="Calibri" w:cs="Courier New"/>
          <w:b/>
          <w:szCs w:val="20"/>
        </w:rPr>
        <w:t xml:space="preserve">Article 3 – Publicité  </w:t>
      </w:r>
    </w:p>
    <w:p>
      <w:pPr>
        <w:autoSpaceDE w:val="0"/>
        <w:autoSpaceDN w:val="0"/>
        <w:adjustRightInd w:val="0"/>
        <w:jc w:val="both"/>
        <w:rPr>
          <w:rFonts w:ascii="Calibri" w:hAnsi="Calibri" w:cs="Courier New"/>
          <w:szCs w:val="20"/>
        </w:rPr>
      </w:pPr>
    </w:p>
    <w:p>
      <w:pPr>
        <w:autoSpaceDE w:val="0"/>
        <w:autoSpaceDN w:val="0"/>
        <w:adjustRightInd w:val="0"/>
        <w:jc w:val="both"/>
        <w:rPr>
          <w:rFonts w:ascii="Calibri" w:hAnsi="Calibri" w:cs="Courier New"/>
          <w:szCs w:val="20"/>
        </w:rPr>
      </w:pPr>
      <w:r>
        <w:rPr>
          <w:rFonts w:ascii="Calibri" w:hAnsi="Calibri" w:cs="Courier New"/>
          <w:b/>
          <w:szCs w:val="20"/>
        </w:rPr>
        <w:t>§1 –</w:t>
      </w:r>
      <w:r>
        <w:rPr>
          <w:rFonts w:ascii="Calibri" w:hAnsi="Calibri" w:cs="Courier New"/>
          <w:szCs w:val="20"/>
        </w:rPr>
        <w:t xml:space="preserve"> L’AGE assure la promotion du prix du mémoire en éducation.</w:t>
      </w:r>
    </w:p>
    <w:p>
      <w:pPr>
        <w:autoSpaceDE w:val="0"/>
        <w:autoSpaceDN w:val="0"/>
        <w:adjustRightInd w:val="0"/>
        <w:jc w:val="both"/>
        <w:rPr>
          <w:rFonts w:ascii="Calibri" w:hAnsi="Calibri" w:cs="Courier New"/>
          <w:szCs w:val="20"/>
        </w:rPr>
      </w:pPr>
    </w:p>
    <w:p>
      <w:pPr>
        <w:autoSpaceDE w:val="0"/>
        <w:autoSpaceDN w:val="0"/>
        <w:adjustRightInd w:val="0"/>
        <w:jc w:val="both"/>
        <w:rPr>
          <w:rFonts w:ascii="Calibri" w:hAnsi="Calibri" w:cs="Courier New"/>
          <w:szCs w:val="20"/>
        </w:rPr>
      </w:pPr>
      <w:r>
        <w:rPr>
          <w:rFonts w:ascii="Calibri" w:hAnsi="Calibri" w:cs="Courier New"/>
          <w:szCs w:val="20"/>
        </w:rPr>
        <w:t xml:space="preserve">Une lettre d’information adressée par courriel ou par courrier postal aux Autorités académiques des Universités, des Hautes Ecoles et des Ecoles supérieures des Arts , sous forme de mail ou de courrier postal, par l’Administratrice générale de l’Enseignement, les invite à diffuser l’information à l’ensemble des personnes concernées.  </w:t>
      </w:r>
    </w:p>
    <w:p>
      <w:pPr>
        <w:autoSpaceDE w:val="0"/>
        <w:autoSpaceDN w:val="0"/>
        <w:adjustRightInd w:val="0"/>
        <w:jc w:val="both"/>
        <w:rPr>
          <w:rFonts w:ascii="Calibri" w:hAnsi="Calibri" w:cs="Courier New"/>
          <w:szCs w:val="20"/>
        </w:rPr>
      </w:pPr>
    </w:p>
    <w:p>
      <w:pPr>
        <w:jc w:val="both"/>
        <w:rPr>
          <w:rFonts w:ascii="Calibri" w:hAnsi="Calibri" w:cs="Courier New"/>
          <w:szCs w:val="20"/>
        </w:rPr>
      </w:pPr>
      <w:r>
        <w:rPr>
          <w:rFonts w:ascii="Calibri" w:hAnsi="Calibri" w:cs="Courier New"/>
          <w:szCs w:val="20"/>
        </w:rPr>
        <w:t>L’appel à candidatures est également annoncé sur le site internet de l’Administration générale de l’Enseignement : www.enseignement.be  ainsi que sur le site de la Fédération Wallonie-Bruxelles (</w:t>
      </w:r>
      <w:hyperlink r:id="rId9" w:history="1">
        <w:r>
          <w:rPr>
            <w:rFonts w:ascii="Calibri" w:hAnsi="Calibri" w:cs="Courier New"/>
            <w:szCs w:val="20"/>
          </w:rPr>
          <w:t>www.federation-wallonie-bruxelles.be</w:t>
        </w:r>
      </w:hyperlink>
      <w:r>
        <w:rPr>
          <w:rFonts w:ascii="Calibri" w:hAnsi="Calibri" w:cs="Courier New"/>
          <w:szCs w:val="20"/>
        </w:rPr>
        <w:t>).</w:t>
      </w:r>
    </w:p>
    <w:p>
      <w:pPr>
        <w:autoSpaceDE w:val="0"/>
        <w:autoSpaceDN w:val="0"/>
        <w:adjustRightInd w:val="0"/>
        <w:jc w:val="both"/>
        <w:rPr>
          <w:rFonts w:ascii="Calibri" w:hAnsi="Calibri" w:cs="Courier New"/>
          <w:szCs w:val="20"/>
        </w:rPr>
      </w:pPr>
    </w:p>
    <w:p>
      <w:pPr>
        <w:autoSpaceDE w:val="0"/>
        <w:autoSpaceDN w:val="0"/>
        <w:adjustRightInd w:val="0"/>
        <w:jc w:val="both"/>
        <w:rPr>
          <w:rFonts w:ascii="Calibri" w:hAnsi="Calibri" w:cs="Courier New"/>
          <w:szCs w:val="20"/>
        </w:rPr>
      </w:pPr>
      <w:r>
        <w:rPr>
          <w:rFonts w:ascii="Calibri" w:hAnsi="Calibri" w:cs="Courier New"/>
          <w:b/>
          <w:szCs w:val="20"/>
        </w:rPr>
        <w:t>§2 –</w:t>
      </w:r>
      <w:r>
        <w:rPr>
          <w:rFonts w:ascii="Calibri" w:hAnsi="Calibri" w:cs="Courier New"/>
          <w:szCs w:val="20"/>
        </w:rPr>
        <w:t xml:space="preserve"> Le prix est décerné lors d’une séance publique. À cette occasion, le lauréat ou la lauréate réalise  une communication du travail primé. Dans le mois qui suit la cérémonie de remise du prix, il ou elle fournit aux services de l’AGE le texte de sa communication, conformément aux normes techniques qui permettent sa mise en ligne sur le site </w:t>
      </w:r>
      <w:hyperlink r:id="rId10" w:history="1">
        <w:r>
          <w:rPr>
            <w:rStyle w:val="Lienhypertexte"/>
            <w:rFonts w:ascii="Calibri" w:hAnsi="Calibri" w:cs="Courier New"/>
            <w:color w:val="auto"/>
            <w:szCs w:val="20"/>
          </w:rPr>
          <w:t>www.enseignement.be</w:t>
        </w:r>
      </w:hyperlink>
      <w:r>
        <w:rPr>
          <w:rFonts w:ascii="Calibri" w:hAnsi="Calibri" w:cs="Courier New"/>
          <w:szCs w:val="20"/>
        </w:rPr>
        <w:t>.</w:t>
      </w:r>
    </w:p>
    <w:p>
      <w:pPr>
        <w:autoSpaceDE w:val="0"/>
        <w:autoSpaceDN w:val="0"/>
        <w:adjustRightInd w:val="0"/>
        <w:jc w:val="both"/>
        <w:rPr>
          <w:rFonts w:ascii="Calibri" w:hAnsi="Calibri" w:cs="Courier New"/>
          <w:szCs w:val="20"/>
        </w:rPr>
      </w:pPr>
    </w:p>
    <w:p>
      <w:pPr>
        <w:autoSpaceDE w:val="0"/>
        <w:autoSpaceDN w:val="0"/>
        <w:adjustRightInd w:val="0"/>
        <w:rPr>
          <w:rFonts w:ascii="Calibri" w:hAnsi="Calibri" w:cs="Courier New"/>
          <w:szCs w:val="20"/>
        </w:rPr>
      </w:pPr>
      <w:r>
        <w:rPr>
          <w:rFonts w:ascii="Calibri" w:hAnsi="Calibri" w:cs="Courier New"/>
          <w:b/>
          <w:szCs w:val="20"/>
        </w:rPr>
        <w:t xml:space="preserve">§3 - </w:t>
      </w:r>
      <w:r>
        <w:rPr>
          <w:rFonts w:ascii="Calibri" w:hAnsi="Calibri" w:cs="Courier New"/>
          <w:szCs w:val="20"/>
        </w:rPr>
        <w:t xml:space="preserve">La communication est d’une durée de 10 et 15 minutes et, à cette occasion, le ou la </w:t>
      </w:r>
      <w:proofErr w:type="spellStart"/>
      <w:r>
        <w:rPr>
          <w:rFonts w:ascii="Calibri" w:hAnsi="Calibri" w:cs="Courier New"/>
          <w:szCs w:val="20"/>
        </w:rPr>
        <w:t>lauréat-e</w:t>
      </w:r>
      <w:proofErr w:type="spellEnd"/>
      <w:r>
        <w:rPr>
          <w:rFonts w:ascii="Calibri" w:hAnsi="Calibri" w:cs="Courier New"/>
          <w:szCs w:val="20"/>
        </w:rPr>
        <w:t xml:space="preserve"> dispose du matériel requis.</w:t>
      </w:r>
      <w:r>
        <w:rPr>
          <w:rFonts w:ascii="Calibri" w:hAnsi="Calibri" w:cs="Courier New"/>
          <w:b/>
          <w:szCs w:val="20"/>
        </w:rPr>
        <w:t xml:space="preserve">  </w:t>
      </w:r>
    </w:p>
    <w:p>
      <w:pPr>
        <w:autoSpaceDE w:val="0"/>
        <w:autoSpaceDN w:val="0"/>
        <w:adjustRightInd w:val="0"/>
        <w:rPr>
          <w:rFonts w:ascii="Calibri" w:hAnsi="Calibri" w:cs="Courier New"/>
          <w:b/>
        </w:rPr>
      </w:pPr>
    </w:p>
    <w:p>
      <w:pPr>
        <w:autoSpaceDE w:val="0"/>
        <w:autoSpaceDN w:val="0"/>
        <w:adjustRightInd w:val="0"/>
        <w:jc w:val="center"/>
        <w:rPr>
          <w:rFonts w:ascii="Calibri" w:hAnsi="Calibri" w:cs="Courier New"/>
          <w:b/>
        </w:rPr>
      </w:pPr>
    </w:p>
    <w:p>
      <w:pPr>
        <w:autoSpaceDE w:val="0"/>
        <w:autoSpaceDN w:val="0"/>
        <w:adjustRightInd w:val="0"/>
        <w:jc w:val="center"/>
        <w:rPr>
          <w:rFonts w:ascii="Calibri" w:hAnsi="Calibri" w:cs="Courier New"/>
          <w:b/>
        </w:rPr>
      </w:pPr>
    </w:p>
    <w:p>
      <w:pPr>
        <w:autoSpaceDE w:val="0"/>
        <w:autoSpaceDN w:val="0"/>
        <w:adjustRightInd w:val="0"/>
        <w:jc w:val="center"/>
        <w:rPr>
          <w:rFonts w:ascii="Calibri" w:hAnsi="Calibri" w:cs="Courier New"/>
          <w:b/>
        </w:rPr>
      </w:pPr>
    </w:p>
    <w:p>
      <w:pPr>
        <w:autoSpaceDE w:val="0"/>
        <w:autoSpaceDN w:val="0"/>
        <w:adjustRightInd w:val="0"/>
        <w:jc w:val="center"/>
        <w:rPr>
          <w:rFonts w:ascii="Calibri" w:hAnsi="Calibri" w:cs="Courier New"/>
          <w:b/>
        </w:rPr>
      </w:pPr>
    </w:p>
    <w:p>
      <w:pPr>
        <w:autoSpaceDE w:val="0"/>
        <w:autoSpaceDN w:val="0"/>
        <w:adjustRightInd w:val="0"/>
        <w:jc w:val="center"/>
        <w:rPr>
          <w:rFonts w:ascii="Calibri" w:hAnsi="Calibri" w:cs="Courier New"/>
          <w:b/>
        </w:rPr>
      </w:pPr>
    </w:p>
    <w:p>
      <w:pPr>
        <w:autoSpaceDE w:val="0"/>
        <w:autoSpaceDN w:val="0"/>
        <w:adjustRightInd w:val="0"/>
        <w:jc w:val="center"/>
        <w:rPr>
          <w:rFonts w:ascii="Calibri" w:hAnsi="Calibri" w:cs="Courier New"/>
          <w:b/>
        </w:rPr>
      </w:pPr>
    </w:p>
    <w:p>
      <w:pPr>
        <w:autoSpaceDE w:val="0"/>
        <w:autoSpaceDN w:val="0"/>
        <w:adjustRightInd w:val="0"/>
        <w:jc w:val="center"/>
        <w:rPr>
          <w:rFonts w:ascii="Calibri" w:hAnsi="Calibri" w:cs="Courier New"/>
          <w:b/>
        </w:rPr>
      </w:pPr>
    </w:p>
    <w:p>
      <w:pPr>
        <w:autoSpaceDE w:val="0"/>
        <w:autoSpaceDN w:val="0"/>
        <w:adjustRightInd w:val="0"/>
        <w:jc w:val="center"/>
        <w:rPr>
          <w:rFonts w:ascii="Calibri" w:hAnsi="Calibri" w:cs="Courier New"/>
          <w:b/>
        </w:rPr>
      </w:pPr>
    </w:p>
    <w:p>
      <w:pPr>
        <w:autoSpaceDE w:val="0"/>
        <w:autoSpaceDN w:val="0"/>
        <w:adjustRightInd w:val="0"/>
        <w:jc w:val="center"/>
        <w:rPr>
          <w:rFonts w:ascii="Calibri" w:hAnsi="Calibri" w:cs="Courier New"/>
          <w:b/>
        </w:rPr>
      </w:pPr>
    </w:p>
    <w:p>
      <w:pPr>
        <w:autoSpaceDE w:val="0"/>
        <w:autoSpaceDN w:val="0"/>
        <w:adjustRightInd w:val="0"/>
        <w:jc w:val="center"/>
        <w:rPr>
          <w:rFonts w:ascii="Calibri" w:hAnsi="Calibri" w:cs="Courier New"/>
          <w:b/>
        </w:rPr>
      </w:pPr>
    </w:p>
    <w:p>
      <w:pPr>
        <w:autoSpaceDE w:val="0"/>
        <w:autoSpaceDN w:val="0"/>
        <w:adjustRightInd w:val="0"/>
        <w:jc w:val="center"/>
        <w:rPr>
          <w:rFonts w:ascii="Calibri" w:hAnsi="Calibri" w:cs="Courier New"/>
          <w:b/>
        </w:rPr>
      </w:pPr>
    </w:p>
    <w:p>
      <w:pPr>
        <w:autoSpaceDE w:val="0"/>
        <w:autoSpaceDN w:val="0"/>
        <w:adjustRightInd w:val="0"/>
        <w:jc w:val="center"/>
        <w:rPr>
          <w:rFonts w:ascii="Calibri" w:hAnsi="Calibri" w:cs="Courier New"/>
          <w:b/>
        </w:rPr>
      </w:pPr>
    </w:p>
    <w:p>
      <w:pPr>
        <w:autoSpaceDE w:val="0"/>
        <w:autoSpaceDN w:val="0"/>
        <w:adjustRightInd w:val="0"/>
        <w:jc w:val="center"/>
        <w:rPr>
          <w:rFonts w:ascii="Calibri" w:hAnsi="Calibri" w:cs="Courier New"/>
          <w:b/>
        </w:rPr>
      </w:pPr>
      <w:r>
        <w:rPr>
          <w:rFonts w:ascii="Calibri" w:hAnsi="Calibri" w:cs="Courier New"/>
          <w:b/>
        </w:rPr>
        <w:lastRenderedPageBreak/>
        <w:t>Chapitre deuxième :</w:t>
      </w:r>
    </w:p>
    <w:p>
      <w:pPr>
        <w:autoSpaceDE w:val="0"/>
        <w:autoSpaceDN w:val="0"/>
        <w:adjustRightInd w:val="0"/>
        <w:jc w:val="center"/>
        <w:rPr>
          <w:rFonts w:ascii="Calibri" w:hAnsi="Calibri" w:cs="Courier New"/>
          <w:b/>
        </w:rPr>
      </w:pPr>
      <w:r>
        <w:rPr>
          <w:rFonts w:ascii="Calibri" w:hAnsi="Calibri" w:cs="Courier New"/>
          <w:b/>
        </w:rPr>
        <w:t>identification, recevabilité, candidature</w:t>
      </w:r>
    </w:p>
    <w:p>
      <w:pPr>
        <w:autoSpaceDE w:val="0"/>
        <w:autoSpaceDN w:val="0"/>
        <w:adjustRightInd w:val="0"/>
        <w:jc w:val="both"/>
        <w:rPr>
          <w:rFonts w:ascii="Calibri" w:hAnsi="Calibri" w:cs="Courier New"/>
          <w:szCs w:val="20"/>
        </w:rPr>
      </w:pPr>
    </w:p>
    <w:p>
      <w:pPr>
        <w:autoSpaceDE w:val="0"/>
        <w:autoSpaceDN w:val="0"/>
        <w:adjustRightInd w:val="0"/>
        <w:jc w:val="both"/>
        <w:rPr>
          <w:rFonts w:ascii="Calibri" w:hAnsi="Calibri" w:cs="Courier New"/>
          <w:szCs w:val="20"/>
        </w:rPr>
      </w:pPr>
    </w:p>
    <w:p>
      <w:pPr>
        <w:autoSpaceDE w:val="0"/>
        <w:autoSpaceDN w:val="0"/>
        <w:adjustRightInd w:val="0"/>
        <w:jc w:val="both"/>
        <w:rPr>
          <w:rFonts w:ascii="Calibri" w:hAnsi="Calibri" w:cs="Courier New"/>
          <w:szCs w:val="20"/>
        </w:rPr>
      </w:pPr>
    </w:p>
    <w:p>
      <w:pPr>
        <w:autoSpaceDE w:val="0"/>
        <w:autoSpaceDN w:val="0"/>
        <w:adjustRightInd w:val="0"/>
        <w:jc w:val="both"/>
        <w:rPr>
          <w:rFonts w:ascii="Calibri" w:hAnsi="Calibri" w:cs="Courier New"/>
          <w:b/>
          <w:szCs w:val="20"/>
        </w:rPr>
      </w:pPr>
      <w:r>
        <w:rPr>
          <w:rFonts w:ascii="Calibri" w:hAnsi="Calibri" w:cs="Courier New"/>
          <w:b/>
          <w:szCs w:val="20"/>
        </w:rPr>
        <w:t xml:space="preserve">Article 4 – Identification </w:t>
      </w:r>
    </w:p>
    <w:p>
      <w:pPr>
        <w:autoSpaceDE w:val="0"/>
        <w:autoSpaceDN w:val="0"/>
        <w:adjustRightInd w:val="0"/>
        <w:jc w:val="both"/>
        <w:rPr>
          <w:rFonts w:ascii="Calibri" w:hAnsi="Calibri" w:cs="Courier New"/>
          <w:b/>
          <w:szCs w:val="20"/>
        </w:rPr>
      </w:pPr>
    </w:p>
    <w:p>
      <w:pPr>
        <w:autoSpaceDE w:val="0"/>
        <w:autoSpaceDN w:val="0"/>
        <w:adjustRightInd w:val="0"/>
        <w:jc w:val="both"/>
        <w:rPr>
          <w:rFonts w:ascii="Calibri" w:hAnsi="Calibri" w:cs="Courier New"/>
          <w:szCs w:val="20"/>
        </w:rPr>
      </w:pPr>
      <w:r>
        <w:rPr>
          <w:rFonts w:ascii="Calibri" w:hAnsi="Calibri" w:cs="Courier New"/>
          <w:szCs w:val="20"/>
        </w:rPr>
        <w:t xml:space="preserve">Par son inscription, la candidate ou le candidat accepte que les données </w:t>
      </w:r>
      <w:proofErr w:type="spellStart"/>
      <w:r>
        <w:rPr>
          <w:rFonts w:ascii="Calibri" w:hAnsi="Calibri" w:cs="Courier New"/>
          <w:szCs w:val="20"/>
        </w:rPr>
        <w:t>la</w:t>
      </w:r>
      <w:proofErr w:type="spellEnd"/>
      <w:r>
        <w:rPr>
          <w:rFonts w:ascii="Calibri" w:hAnsi="Calibri" w:cs="Courier New"/>
          <w:szCs w:val="20"/>
        </w:rPr>
        <w:t xml:space="preserve"> ou le concernant, collectées à cette occasion, soient traitées par l’Administration générale de l’Enseignement – Avenue du Port, 16 à 1080 Bruxelles – aux fins d’assurer la procédure d’octroi et la promotion du prix.</w:t>
      </w:r>
    </w:p>
    <w:p>
      <w:pPr>
        <w:autoSpaceDE w:val="0"/>
        <w:autoSpaceDN w:val="0"/>
        <w:adjustRightInd w:val="0"/>
        <w:jc w:val="both"/>
        <w:rPr>
          <w:rFonts w:ascii="Calibri" w:hAnsi="Calibri" w:cs="Courier New"/>
          <w:szCs w:val="20"/>
        </w:rPr>
      </w:pPr>
    </w:p>
    <w:p>
      <w:pPr>
        <w:autoSpaceDE w:val="0"/>
        <w:autoSpaceDN w:val="0"/>
        <w:adjustRightInd w:val="0"/>
        <w:jc w:val="both"/>
        <w:rPr>
          <w:rFonts w:ascii="Calibri" w:hAnsi="Calibri" w:cs="Courier New"/>
          <w:szCs w:val="20"/>
        </w:rPr>
      </w:pPr>
      <w:r>
        <w:rPr>
          <w:rFonts w:ascii="Calibri" w:hAnsi="Calibri" w:cs="Courier New"/>
          <w:szCs w:val="20"/>
        </w:rPr>
        <w:t>Son nom sera l’unique donnée à caractère personnel qui pourra être communiqué à des tiers à l’occasion de la remise du prix.</w:t>
      </w:r>
    </w:p>
    <w:p>
      <w:pPr>
        <w:autoSpaceDE w:val="0"/>
        <w:autoSpaceDN w:val="0"/>
        <w:adjustRightInd w:val="0"/>
        <w:jc w:val="both"/>
        <w:rPr>
          <w:rFonts w:ascii="Calibri" w:hAnsi="Calibri" w:cs="Courier New"/>
          <w:szCs w:val="20"/>
        </w:rPr>
      </w:pPr>
    </w:p>
    <w:p>
      <w:pPr>
        <w:autoSpaceDE w:val="0"/>
        <w:autoSpaceDN w:val="0"/>
        <w:adjustRightInd w:val="0"/>
        <w:jc w:val="both"/>
        <w:rPr>
          <w:rFonts w:ascii="Calibri" w:hAnsi="Calibri" w:cs="Courier New"/>
          <w:szCs w:val="20"/>
        </w:rPr>
      </w:pPr>
      <w:r>
        <w:rPr>
          <w:rFonts w:ascii="Calibri" w:hAnsi="Calibri" w:cs="Courier New"/>
          <w:szCs w:val="20"/>
        </w:rPr>
        <w:t xml:space="preserve">La candidate ou le candidat dispose, moyennant la preuve de son identité, d’un droit d’accès et de rectification des données </w:t>
      </w:r>
      <w:proofErr w:type="spellStart"/>
      <w:r>
        <w:rPr>
          <w:rFonts w:ascii="Calibri" w:hAnsi="Calibri" w:cs="Courier New"/>
          <w:szCs w:val="20"/>
        </w:rPr>
        <w:t>la</w:t>
      </w:r>
      <w:proofErr w:type="spellEnd"/>
      <w:r>
        <w:rPr>
          <w:rFonts w:ascii="Calibri" w:hAnsi="Calibri" w:cs="Courier New"/>
          <w:szCs w:val="20"/>
        </w:rPr>
        <w:t xml:space="preserve"> ou le concernant, via une demande à introduire à l’AGE.</w:t>
      </w:r>
    </w:p>
    <w:p>
      <w:pPr>
        <w:autoSpaceDE w:val="0"/>
        <w:autoSpaceDN w:val="0"/>
        <w:adjustRightInd w:val="0"/>
        <w:jc w:val="both"/>
        <w:rPr>
          <w:rFonts w:ascii="Calibri" w:hAnsi="Calibri" w:cs="Courier New"/>
          <w:szCs w:val="20"/>
        </w:rPr>
      </w:pPr>
    </w:p>
    <w:p>
      <w:pPr>
        <w:autoSpaceDE w:val="0"/>
        <w:autoSpaceDN w:val="0"/>
        <w:adjustRightInd w:val="0"/>
        <w:jc w:val="both"/>
        <w:rPr>
          <w:rFonts w:ascii="Calibri" w:hAnsi="Calibri" w:cs="Courier New"/>
          <w:b/>
          <w:szCs w:val="20"/>
        </w:rPr>
      </w:pPr>
      <w:r>
        <w:rPr>
          <w:rFonts w:ascii="Calibri" w:hAnsi="Calibri" w:cs="Courier New"/>
          <w:b/>
          <w:szCs w:val="20"/>
        </w:rPr>
        <w:t xml:space="preserve">Article 5 – Recevabilité </w:t>
      </w:r>
    </w:p>
    <w:p>
      <w:pPr>
        <w:autoSpaceDE w:val="0"/>
        <w:autoSpaceDN w:val="0"/>
        <w:adjustRightInd w:val="0"/>
        <w:jc w:val="both"/>
        <w:rPr>
          <w:rFonts w:ascii="Calibri" w:hAnsi="Calibri" w:cs="Courier New"/>
          <w:szCs w:val="20"/>
        </w:rPr>
      </w:pPr>
    </w:p>
    <w:p>
      <w:pPr>
        <w:autoSpaceDE w:val="0"/>
        <w:autoSpaceDN w:val="0"/>
        <w:adjustRightInd w:val="0"/>
        <w:jc w:val="both"/>
        <w:rPr>
          <w:rFonts w:ascii="Calibri" w:hAnsi="Calibri" w:cs="Courier New"/>
          <w:szCs w:val="20"/>
        </w:rPr>
      </w:pPr>
      <w:r>
        <w:rPr>
          <w:rFonts w:ascii="Calibri" w:hAnsi="Calibri" w:cs="Courier New"/>
          <w:b/>
          <w:szCs w:val="20"/>
        </w:rPr>
        <w:t>§1 –</w:t>
      </w:r>
      <w:r>
        <w:rPr>
          <w:rFonts w:ascii="Calibri" w:hAnsi="Calibri" w:cs="Courier New"/>
          <w:szCs w:val="20"/>
        </w:rPr>
        <w:t xml:space="preserve"> Sont recevables  les mémoires et travaux de fin d’études des étudiantes et étudiants des établissements d’enseignement supérieur de plein exercice de la Fédération Wallonie-Bruxelles: </w:t>
      </w:r>
    </w:p>
    <w:p>
      <w:pPr>
        <w:numPr>
          <w:ilvl w:val="0"/>
          <w:numId w:val="8"/>
        </w:numPr>
        <w:autoSpaceDE w:val="0"/>
        <w:autoSpaceDN w:val="0"/>
        <w:adjustRightInd w:val="0"/>
        <w:jc w:val="both"/>
        <w:rPr>
          <w:rFonts w:ascii="Calibri" w:hAnsi="Calibri" w:cs="Courier New"/>
          <w:szCs w:val="20"/>
        </w:rPr>
      </w:pPr>
      <w:r>
        <w:rPr>
          <w:rFonts w:ascii="Calibri" w:hAnsi="Calibri" w:cs="Courier New"/>
          <w:szCs w:val="20"/>
        </w:rPr>
        <w:t xml:space="preserve">qui ont obtenu le diplôme à l’issue de l’année académique </w:t>
      </w:r>
      <w:r>
        <w:rPr>
          <w:rFonts w:ascii="Calibri" w:hAnsi="Calibri" w:cs="Courier New"/>
          <w:b/>
          <w:szCs w:val="20"/>
        </w:rPr>
        <w:t>2018-2019</w:t>
      </w:r>
      <w:r>
        <w:rPr>
          <w:rFonts w:ascii="Calibri" w:hAnsi="Calibri" w:cs="Courier New"/>
          <w:szCs w:val="20"/>
        </w:rPr>
        <w:t xml:space="preserve"> ; </w:t>
      </w:r>
    </w:p>
    <w:p>
      <w:pPr>
        <w:numPr>
          <w:ilvl w:val="0"/>
          <w:numId w:val="8"/>
        </w:numPr>
        <w:autoSpaceDE w:val="0"/>
        <w:autoSpaceDN w:val="0"/>
        <w:adjustRightInd w:val="0"/>
        <w:jc w:val="both"/>
        <w:rPr>
          <w:rFonts w:ascii="Calibri" w:hAnsi="Calibri" w:cs="Courier New"/>
          <w:szCs w:val="20"/>
        </w:rPr>
      </w:pPr>
      <w:r>
        <w:rPr>
          <w:rFonts w:ascii="Calibri" w:hAnsi="Calibri" w:cs="Courier New"/>
          <w:szCs w:val="20"/>
        </w:rPr>
        <w:t>qui ont reçu, pour ce mémoire ou ce travail de fin d’études, une note d’au moins 16/20 ;</w:t>
      </w:r>
    </w:p>
    <w:p>
      <w:pPr>
        <w:numPr>
          <w:ilvl w:val="0"/>
          <w:numId w:val="8"/>
        </w:numPr>
        <w:autoSpaceDE w:val="0"/>
        <w:autoSpaceDN w:val="0"/>
        <w:adjustRightInd w:val="0"/>
        <w:jc w:val="both"/>
        <w:rPr>
          <w:rFonts w:ascii="Calibri" w:hAnsi="Calibri" w:cs="Courier New"/>
          <w:szCs w:val="20"/>
        </w:rPr>
      </w:pPr>
      <w:r>
        <w:rPr>
          <w:rFonts w:ascii="Calibri" w:hAnsi="Calibri" w:cs="Courier New"/>
          <w:szCs w:val="20"/>
        </w:rPr>
        <w:t>dont l’objet est conforme  au prescrit de l’article 1 du présent règlement.</w:t>
      </w:r>
    </w:p>
    <w:p>
      <w:pPr>
        <w:autoSpaceDE w:val="0"/>
        <w:autoSpaceDN w:val="0"/>
        <w:adjustRightInd w:val="0"/>
        <w:jc w:val="both"/>
        <w:rPr>
          <w:rFonts w:ascii="Calibri" w:hAnsi="Calibri" w:cs="Courier New"/>
          <w:szCs w:val="20"/>
        </w:rPr>
      </w:pPr>
    </w:p>
    <w:p>
      <w:pPr>
        <w:autoSpaceDE w:val="0"/>
        <w:autoSpaceDN w:val="0"/>
        <w:adjustRightInd w:val="0"/>
        <w:jc w:val="both"/>
        <w:rPr>
          <w:rFonts w:ascii="Calibri" w:hAnsi="Calibri" w:cs="Courier New"/>
          <w:szCs w:val="20"/>
        </w:rPr>
      </w:pPr>
      <w:r>
        <w:rPr>
          <w:rFonts w:ascii="Calibri" w:hAnsi="Calibri" w:cs="Courier New"/>
          <w:b/>
          <w:szCs w:val="20"/>
        </w:rPr>
        <w:t>§2 –</w:t>
      </w:r>
      <w:r>
        <w:rPr>
          <w:rFonts w:ascii="Calibri" w:hAnsi="Calibri" w:cs="Courier New"/>
          <w:szCs w:val="20"/>
        </w:rPr>
        <w:t xml:space="preserve"> La même année ou lors des années suivantes, un candidat ou une candidate peut présenter plusieurs mémoires/TFE qu’il ou elle aurait réalisés dans des domaines différents. Ainsi, le fait d’avoir été lauréat ou lauréate n’empêche pas le dépôt d’une candidature nouvelle, relatif à un travail de fin d’études dans une autre discipline. </w:t>
      </w:r>
    </w:p>
    <w:p>
      <w:pPr>
        <w:autoSpaceDE w:val="0"/>
        <w:autoSpaceDN w:val="0"/>
        <w:adjustRightInd w:val="0"/>
        <w:jc w:val="both"/>
        <w:rPr>
          <w:rFonts w:ascii="Calibri" w:hAnsi="Calibri" w:cs="Courier New"/>
          <w:szCs w:val="20"/>
        </w:rPr>
      </w:pPr>
    </w:p>
    <w:p>
      <w:pPr>
        <w:autoSpaceDE w:val="0"/>
        <w:autoSpaceDN w:val="0"/>
        <w:adjustRightInd w:val="0"/>
        <w:jc w:val="both"/>
        <w:rPr>
          <w:rFonts w:ascii="Calibri" w:hAnsi="Calibri" w:cs="Courier New"/>
          <w:szCs w:val="20"/>
        </w:rPr>
      </w:pPr>
      <w:r>
        <w:rPr>
          <w:rFonts w:ascii="Calibri" w:hAnsi="Calibri" w:cs="Courier New"/>
          <w:b/>
          <w:szCs w:val="20"/>
        </w:rPr>
        <w:t>§3 –</w:t>
      </w:r>
      <w:r>
        <w:rPr>
          <w:rFonts w:ascii="Calibri" w:hAnsi="Calibri" w:cs="Courier New"/>
          <w:szCs w:val="20"/>
        </w:rPr>
        <w:t xml:space="preserve"> Ne sont pas recevables : </w:t>
      </w:r>
    </w:p>
    <w:p>
      <w:pPr>
        <w:pStyle w:val="Paragraphedeliste"/>
        <w:numPr>
          <w:ilvl w:val="0"/>
          <w:numId w:val="8"/>
        </w:numPr>
        <w:autoSpaceDE w:val="0"/>
        <w:autoSpaceDN w:val="0"/>
        <w:adjustRightInd w:val="0"/>
        <w:jc w:val="both"/>
        <w:rPr>
          <w:rFonts w:ascii="Calibri" w:hAnsi="Calibri" w:cs="Courier New"/>
          <w:szCs w:val="20"/>
        </w:rPr>
      </w:pPr>
      <w:r>
        <w:rPr>
          <w:rFonts w:ascii="Calibri" w:hAnsi="Calibri" w:cs="Courier New"/>
          <w:szCs w:val="20"/>
        </w:rPr>
        <w:t xml:space="preserve"> les candidatures rentrées hors délai ou incomplètes ;  les travaux qui ont été soumis précédemment aux délibérations du Jury.</w:t>
      </w:r>
    </w:p>
    <w:p>
      <w:pPr>
        <w:autoSpaceDE w:val="0"/>
        <w:autoSpaceDN w:val="0"/>
        <w:adjustRightInd w:val="0"/>
        <w:jc w:val="both"/>
        <w:rPr>
          <w:rFonts w:ascii="Calibri" w:hAnsi="Calibri" w:cs="Courier New"/>
          <w:szCs w:val="20"/>
        </w:rPr>
      </w:pPr>
    </w:p>
    <w:p>
      <w:pPr>
        <w:autoSpaceDE w:val="0"/>
        <w:autoSpaceDN w:val="0"/>
        <w:adjustRightInd w:val="0"/>
        <w:jc w:val="both"/>
        <w:rPr>
          <w:rFonts w:ascii="Calibri" w:hAnsi="Calibri" w:cs="Courier New"/>
          <w:szCs w:val="20"/>
        </w:rPr>
      </w:pPr>
      <w:r>
        <w:rPr>
          <w:rFonts w:ascii="Calibri" w:hAnsi="Calibri" w:cs="Courier New"/>
          <w:b/>
          <w:szCs w:val="20"/>
        </w:rPr>
        <w:t>§4 –</w:t>
      </w:r>
      <w:r>
        <w:rPr>
          <w:rFonts w:ascii="Calibri" w:hAnsi="Calibri" w:cs="Courier New"/>
          <w:szCs w:val="20"/>
        </w:rPr>
        <w:t xml:space="preserve"> La décision de recevabilité du mémoire/TFE est prise par l’Administratrice générale de l’Enseignement et communiquée, sous quinzaine, par courriel au candidat ou à la candidate. Les mémoires/TFE non recevables ne sont pas transmis au Jury.</w:t>
      </w:r>
    </w:p>
    <w:p>
      <w:pPr>
        <w:autoSpaceDE w:val="0"/>
        <w:autoSpaceDN w:val="0"/>
        <w:adjustRightInd w:val="0"/>
        <w:jc w:val="both"/>
        <w:rPr>
          <w:rFonts w:ascii="Calibri" w:hAnsi="Calibri" w:cs="Courier New"/>
          <w:b/>
          <w:szCs w:val="20"/>
        </w:rPr>
      </w:pPr>
    </w:p>
    <w:p>
      <w:pPr>
        <w:autoSpaceDE w:val="0"/>
        <w:autoSpaceDN w:val="0"/>
        <w:adjustRightInd w:val="0"/>
        <w:jc w:val="both"/>
        <w:rPr>
          <w:rFonts w:ascii="Calibri" w:hAnsi="Calibri" w:cs="Courier New"/>
          <w:b/>
          <w:szCs w:val="20"/>
        </w:rPr>
      </w:pPr>
      <w:r>
        <w:rPr>
          <w:rFonts w:ascii="Calibri" w:hAnsi="Calibri" w:cs="Courier New"/>
          <w:b/>
          <w:szCs w:val="20"/>
        </w:rPr>
        <w:t>§5 –</w:t>
      </w:r>
      <w:r>
        <w:rPr>
          <w:rFonts w:ascii="Calibri" w:hAnsi="Calibri" w:cs="Courier New"/>
          <w:szCs w:val="20"/>
        </w:rPr>
        <w:t xml:space="preserve"> Les candidatures doivent parvenir au Service « Qualité et Stratégie » qui est chargé de la réception et de la recevabilité des candidatures via l’adresse : age.straqua@cfwb.be</w:t>
      </w:r>
    </w:p>
    <w:p>
      <w:pPr>
        <w:autoSpaceDE w:val="0"/>
        <w:autoSpaceDN w:val="0"/>
        <w:adjustRightInd w:val="0"/>
        <w:jc w:val="both"/>
        <w:rPr>
          <w:rFonts w:ascii="Calibri" w:hAnsi="Calibri" w:cs="Courier New"/>
          <w:b/>
          <w:szCs w:val="20"/>
        </w:rPr>
      </w:pPr>
      <w:r>
        <w:rPr>
          <w:rFonts w:ascii="Calibri" w:hAnsi="Calibri" w:cs="Courier New"/>
          <w:szCs w:val="20"/>
        </w:rPr>
        <w:t xml:space="preserve"> .</w:t>
      </w:r>
    </w:p>
    <w:p>
      <w:pPr>
        <w:autoSpaceDE w:val="0"/>
        <w:autoSpaceDN w:val="0"/>
        <w:adjustRightInd w:val="0"/>
        <w:jc w:val="both"/>
        <w:rPr>
          <w:rFonts w:ascii="Calibri" w:hAnsi="Calibri" w:cs="Courier New"/>
          <w:b/>
          <w:szCs w:val="20"/>
        </w:rPr>
      </w:pPr>
    </w:p>
    <w:p>
      <w:pPr>
        <w:autoSpaceDE w:val="0"/>
        <w:autoSpaceDN w:val="0"/>
        <w:adjustRightInd w:val="0"/>
        <w:jc w:val="both"/>
        <w:rPr>
          <w:rFonts w:ascii="Calibri" w:hAnsi="Calibri" w:cs="Courier New"/>
          <w:b/>
          <w:szCs w:val="20"/>
        </w:rPr>
      </w:pPr>
    </w:p>
    <w:p>
      <w:pPr>
        <w:autoSpaceDE w:val="0"/>
        <w:autoSpaceDN w:val="0"/>
        <w:adjustRightInd w:val="0"/>
        <w:jc w:val="both"/>
        <w:rPr>
          <w:rFonts w:ascii="Calibri" w:hAnsi="Calibri" w:cs="Courier New"/>
          <w:b/>
          <w:szCs w:val="20"/>
        </w:rPr>
      </w:pPr>
    </w:p>
    <w:p>
      <w:pPr>
        <w:autoSpaceDE w:val="0"/>
        <w:autoSpaceDN w:val="0"/>
        <w:adjustRightInd w:val="0"/>
        <w:jc w:val="both"/>
        <w:rPr>
          <w:rFonts w:ascii="Calibri" w:hAnsi="Calibri" w:cs="Courier New"/>
          <w:b/>
          <w:szCs w:val="20"/>
        </w:rPr>
      </w:pPr>
    </w:p>
    <w:p>
      <w:pPr>
        <w:autoSpaceDE w:val="0"/>
        <w:autoSpaceDN w:val="0"/>
        <w:adjustRightInd w:val="0"/>
        <w:jc w:val="both"/>
        <w:rPr>
          <w:rFonts w:ascii="Calibri" w:hAnsi="Calibri" w:cs="Courier New"/>
          <w:b/>
          <w:szCs w:val="20"/>
        </w:rPr>
      </w:pPr>
      <w:r>
        <w:rPr>
          <w:rFonts w:ascii="Calibri" w:hAnsi="Calibri" w:cs="Courier New"/>
          <w:b/>
          <w:szCs w:val="20"/>
        </w:rPr>
        <w:t>Article 6 – Candidature</w:t>
      </w:r>
    </w:p>
    <w:p>
      <w:pPr>
        <w:autoSpaceDE w:val="0"/>
        <w:autoSpaceDN w:val="0"/>
        <w:adjustRightInd w:val="0"/>
        <w:jc w:val="both"/>
        <w:rPr>
          <w:rFonts w:ascii="Calibri" w:hAnsi="Calibri" w:cs="Courier New"/>
          <w:szCs w:val="20"/>
        </w:rPr>
      </w:pPr>
    </w:p>
    <w:p>
      <w:pPr>
        <w:autoSpaceDE w:val="0"/>
        <w:autoSpaceDN w:val="0"/>
        <w:adjustRightInd w:val="0"/>
        <w:jc w:val="both"/>
        <w:rPr>
          <w:rFonts w:ascii="Calibri" w:hAnsi="Calibri" w:cs="Courier New"/>
          <w:b/>
          <w:szCs w:val="20"/>
        </w:rPr>
      </w:pPr>
      <w:r>
        <w:rPr>
          <w:rFonts w:ascii="Calibri" w:hAnsi="Calibri" w:cs="Courier New"/>
          <w:b/>
          <w:szCs w:val="20"/>
        </w:rPr>
        <w:t>§1 – Contenu des dossiers de candidature</w:t>
      </w:r>
    </w:p>
    <w:p>
      <w:pPr>
        <w:autoSpaceDE w:val="0"/>
        <w:autoSpaceDN w:val="0"/>
        <w:adjustRightInd w:val="0"/>
        <w:jc w:val="both"/>
        <w:rPr>
          <w:rFonts w:ascii="Calibri" w:hAnsi="Calibri" w:cs="Courier New"/>
          <w:szCs w:val="20"/>
        </w:rPr>
      </w:pPr>
      <w:r>
        <w:rPr>
          <w:rFonts w:ascii="Calibri" w:hAnsi="Calibri" w:cs="Courier New"/>
          <w:szCs w:val="20"/>
        </w:rPr>
        <w:t>Les dossiers de candidature comportent :</w:t>
      </w:r>
    </w:p>
    <w:p>
      <w:pPr>
        <w:autoSpaceDE w:val="0"/>
        <w:autoSpaceDN w:val="0"/>
        <w:adjustRightInd w:val="0"/>
        <w:jc w:val="both"/>
        <w:rPr>
          <w:rFonts w:ascii="Calibri" w:hAnsi="Calibri" w:cs="Courier New"/>
          <w:szCs w:val="20"/>
        </w:rPr>
      </w:pPr>
      <w:r>
        <w:rPr>
          <w:rFonts w:ascii="Calibri" w:hAnsi="Calibri" w:cs="Courier New"/>
          <w:szCs w:val="20"/>
        </w:rPr>
        <w:t xml:space="preserve">  </w:t>
      </w:r>
    </w:p>
    <w:p>
      <w:pPr>
        <w:numPr>
          <w:ilvl w:val="0"/>
          <w:numId w:val="11"/>
        </w:numPr>
        <w:autoSpaceDE w:val="0"/>
        <w:autoSpaceDN w:val="0"/>
        <w:adjustRightInd w:val="0"/>
        <w:jc w:val="both"/>
        <w:rPr>
          <w:rFonts w:ascii="Calibri" w:hAnsi="Calibri" w:cs="Courier New"/>
          <w:szCs w:val="20"/>
        </w:rPr>
      </w:pPr>
      <w:r>
        <w:rPr>
          <w:rFonts w:ascii="Calibri" w:hAnsi="Calibri" w:cs="Courier New"/>
          <w:szCs w:val="20"/>
        </w:rPr>
        <w:t xml:space="preserve">un formulaire de participation disponible en ligne sur </w:t>
      </w:r>
      <w:hyperlink r:id="rId11" w:history="1">
        <w:r>
          <w:rPr>
            <w:rStyle w:val="Lienhypertexte"/>
            <w:rFonts w:ascii="Calibri" w:hAnsi="Calibri" w:cs="Courier New"/>
            <w:szCs w:val="20"/>
          </w:rPr>
          <w:t>http://enseignement.be/index.php?page=28135</w:t>
        </w:r>
      </w:hyperlink>
      <w:r>
        <w:rPr>
          <w:rFonts w:ascii="Calibri" w:hAnsi="Calibri" w:cs="Courier New"/>
          <w:szCs w:val="20"/>
        </w:rPr>
        <w:t> </w:t>
      </w:r>
      <w:r>
        <w:rPr>
          <w:rFonts w:ascii="Calibri" w:hAnsi="Calibri" w:cs="Courier New"/>
        </w:rPr>
        <w:t>;</w:t>
      </w:r>
    </w:p>
    <w:p>
      <w:pPr>
        <w:numPr>
          <w:ilvl w:val="0"/>
          <w:numId w:val="11"/>
        </w:numPr>
        <w:autoSpaceDE w:val="0"/>
        <w:autoSpaceDN w:val="0"/>
        <w:adjustRightInd w:val="0"/>
        <w:jc w:val="both"/>
        <w:rPr>
          <w:rFonts w:ascii="Calibri" w:hAnsi="Calibri" w:cs="Courier New"/>
          <w:szCs w:val="20"/>
        </w:rPr>
      </w:pPr>
      <w:bookmarkStart w:id="0" w:name="_GoBack"/>
      <w:bookmarkEnd w:id="0"/>
      <w:r>
        <w:rPr>
          <w:rFonts w:ascii="Calibri" w:hAnsi="Calibri" w:cs="Courier New"/>
          <w:szCs w:val="20"/>
        </w:rPr>
        <w:t>un document attestant de la note obtenue pour le mémoire/TFE ;</w:t>
      </w:r>
    </w:p>
    <w:p>
      <w:pPr>
        <w:numPr>
          <w:ilvl w:val="0"/>
          <w:numId w:val="11"/>
        </w:numPr>
        <w:autoSpaceDE w:val="0"/>
        <w:autoSpaceDN w:val="0"/>
        <w:adjustRightInd w:val="0"/>
        <w:jc w:val="both"/>
        <w:rPr>
          <w:rFonts w:ascii="Calibri" w:hAnsi="Calibri" w:cs="Courier New"/>
          <w:szCs w:val="20"/>
        </w:rPr>
      </w:pPr>
      <w:r>
        <w:rPr>
          <w:rFonts w:ascii="Calibri" w:hAnsi="Calibri" w:cs="Courier New"/>
          <w:szCs w:val="20"/>
        </w:rPr>
        <w:t xml:space="preserve">deux copies électroniques du mémoire/TFE, en ce compris ses annexes, dont une sera </w:t>
      </w:r>
      <w:proofErr w:type="spellStart"/>
      <w:r>
        <w:rPr>
          <w:rFonts w:ascii="Calibri" w:hAnsi="Calibri" w:cs="Courier New"/>
          <w:szCs w:val="20"/>
        </w:rPr>
        <w:t>anonymisée</w:t>
      </w:r>
      <w:proofErr w:type="spellEnd"/>
      <w:r>
        <w:rPr>
          <w:rStyle w:val="Appelnotedebasdep"/>
          <w:rFonts w:ascii="Calibri" w:hAnsi="Calibri" w:cs="Courier New"/>
          <w:szCs w:val="20"/>
        </w:rPr>
        <w:footnoteReference w:id="2"/>
      </w:r>
      <w:r>
        <w:rPr>
          <w:rFonts w:ascii="Calibri" w:hAnsi="Calibri" w:cs="Courier New"/>
          <w:szCs w:val="20"/>
        </w:rPr>
        <w:t> ;</w:t>
      </w:r>
    </w:p>
    <w:p>
      <w:pPr>
        <w:numPr>
          <w:ilvl w:val="0"/>
          <w:numId w:val="11"/>
        </w:numPr>
        <w:autoSpaceDE w:val="0"/>
        <w:autoSpaceDN w:val="0"/>
        <w:adjustRightInd w:val="0"/>
        <w:jc w:val="both"/>
        <w:rPr>
          <w:rFonts w:ascii="Calibri" w:hAnsi="Calibri" w:cs="Courier New"/>
          <w:szCs w:val="20"/>
        </w:rPr>
      </w:pPr>
      <w:r>
        <w:rPr>
          <w:rFonts w:ascii="Calibri" w:hAnsi="Calibri" w:cs="Courier New"/>
          <w:szCs w:val="20"/>
        </w:rPr>
        <w:t xml:space="preserve"> un résumé du mémoire/ TFE ;</w:t>
      </w:r>
    </w:p>
    <w:p>
      <w:pPr>
        <w:numPr>
          <w:ilvl w:val="0"/>
          <w:numId w:val="11"/>
        </w:numPr>
        <w:tabs>
          <w:tab w:val="clear" w:pos="720"/>
          <w:tab w:val="num" w:pos="851"/>
        </w:tabs>
        <w:autoSpaceDE w:val="0"/>
        <w:autoSpaceDN w:val="0"/>
        <w:adjustRightInd w:val="0"/>
        <w:jc w:val="both"/>
        <w:rPr>
          <w:rFonts w:ascii="Calibri" w:hAnsi="Calibri" w:cs="Courier New"/>
          <w:szCs w:val="20"/>
        </w:rPr>
      </w:pPr>
      <w:r>
        <w:rPr>
          <w:rFonts w:ascii="Calibri" w:hAnsi="Calibri" w:cs="Courier New"/>
          <w:szCs w:val="20"/>
        </w:rPr>
        <w:t>un texte expliquant l’intérêt du mémoire/TFE pour les politiques éducatives et les pédagogies de l’enseignement ordinaire et spécialisé voire de l’enseignement supérieur en FW-B.</w:t>
      </w:r>
    </w:p>
    <w:p>
      <w:pPr>
        <w:autoSpaceDE w:val="0"/>
        <w:autoSpaceDN w:val="0"/>
        <w:adjustRightInd w:val="0"/>
        <w:jc w:val="both"/>
        <w:rPr>
          <w:rFonts w:ascii="Calibri" w:hAnsi="Calibri" w:cs="Courier New"/>
          <w:szCs w:val="20"/>
        </w:rPr>
      </w:pPr>
    </w:p>
    <w:p>
      <w:pPr>
        <w:autoSpaceDE w:val="0"/>
        <w:autoSpaceDN w:val="0"/>
        <w:adjustRightInd w:val="0"/>
        <w:jc w:val="both"/>
        <w:rPr>
          <w:rFonts w:ascii="Calibri" w:hAnsi="Calibri" w:cs="Courier New"/>
          <w:b/>
          <w:szCs w:val="20"/>
        </w:rPr>
      </w:pPr>
      <w:r>
        <w:rPr>
          <w:rFonts w:ascii="Calibri" w:hAnsi="Calibri" w:cs="Courier New"/>
          <w:b/>
          <w:szCs w:val="20"/>
        </w:rPr>
        <w:t>§2 – Résumé</w:t>
      </w:r>
    </w:p>
    <w:p>
      <w:pPr>
        <w:autoSpaceDE w:val="0"/>
        <w:autoSpaceDN w:val="0"/>
        <w:adjustRightInd w:val="0"/>
        <w:jc w:val="both"/>
        <w:rPr>
          <w:rFonts w:ascii="Calibri" w:hAnsi="Calibri" w:cs="Courier New"/>
          <w:szCs w:val="20"/>
        </w:rPr>
      </w:pPr>
      <w:r>
        <w:rPr>
          <w:rFonts w:ascii="Calibri" w:hAnsi="Calibri" w:cs="Courier New"/>
          <w:szCs w:val="20"/>
        </w:rPr>
        <w:t xml:space="preserve">Le résumé du mémoire/TFE compte au maximum  6000 caractères espace compris et est </w:t>
      </w:r>
      <w:proofErr w:type="spellStart"/>
      <w:r>
        <w:rPr>
          <w:rFonts w:ascii="Calibri" w:hAnsi="Calibri" w:cs="Courier New"/>
          <w:szCs w:val="20"/>
        </w:rPr>
        <w:t>anonymisé</w:t>
      </w:r>
      <w:proofErr w:type="spellEnd"/>
      <w:r>
        <w:rPr>
          <w:rFonts w:ascii="Calibri" w:hAnsi="Calibri" w:cs="Courier New"/>
          <w:szCs w:val="20"/>
        </w:rPr>
        <w:t xml:space="preserve">. </w:t>
      </w:r>
    </w:p>
    <w:p>
      <w:pPr>
        <w:autoSpaceDE w:val="0"/>
        <w:autoSpaceDN w:val="0"/>
        <w:adjustRightInd w:val="0"/>
        <w:jc w:val="both"/>
        <w:rPr>
          <w:rFonts w:ascii="Calibri" w:hAnsi="Calibri" w:cs="Courier New"/>
          <w:szCs w:val="20"/>
        </w:rPr>
      </w:pPr>
    </w:p>
    <w:p>
      <w:pPr>
        <w:autoSpaceDE w:val="0"/>
        <w:autoSpaceDN w:val="0"/>
        <w:adjustRightInd w:val="0"/>
        <w:jc w:val="both"/>
        <w:rPr>
          <w:rFonts w:ascii="Calibri" w:hAnsi="Calibri" w:cs="Courier New"/>
          <w:szCs w:val="20"/>
        </w:rPr>
      </w:pPr>
      <w:r>
        <w:rPr>
          <w:rFonts w:ascii="Calibri" w:hAnsi="Calibri" w:cs="Courier New"/>
          <w:szCs w:val="20"/>
        </w:rPr>
        <w:t xml:space="preserve">Il comporte les éléments suivants : </w:t>
      </w:r>
    </w:p>
    <w:p>
      <w:pPr>
        <w:numPr>
          <w:ilvl w:val="0"/>
          <w:numId w:val="8"/>
        </w:numPr>
        <w:autoSpaceDE w:val="0"/>
        <w:autoSpaceDN w:val="0"/>
        <w:adjustRightInd w:val="0"/>
        <w:jc w:val="both"/>
        <w:rPr>
          <w:rFonts w:ascii="Calibri" w:hAnsi="Calibri" w:cs="Courier New"/>
          <w:szCs w:val="20"/>
        </w:rPr>
      </w:pPr>
      <w:r>
        <w:rPr>
          <w:rFonts w:ascii="Calibri" w:hAnsi="Calibri" w:cs="Courier New"/>
          <w:szCs w:val="20"/>
        </w:rPr>
        <w:t xml:space="preserve">le titre ;  </w:t>
      </w:r>
    </w:p>
    <w:p>
      <w:pPr>
        <w:numPr>
          <w:ilvl w:val="0"/>
          <w:numId w:val="8"/>
        </w:numPr>
        <w:autoSpaceDE w:val="0"/>
        <w:autoSpaceDN w:val="0"/>
        <w:adjustRightInd w:val="0"/>
        <w:jc w:val="both"/>
        <w:rPr>
          <w:rFonts w:ascii="Calibri" w:hAnsi="Calibri" w:cs="Courier New"/>
          <w:szCs w:val="20"/>
        </w:rPr>
      </w:pPr>
      <w:r>
        <w:rPr>
          <w:rFonts w:ascii="Calibri" w:hAnsi="Calibri" w:cs="Courier New"/>
          <w:szCs w:val="20"/>
        </w:rPr>
        <w:t>une description brève de la thématique et des questions directrices qui orientent le mémoire/TFE ;</w:t>
      </w:r>
    </w:p>
    <w:p>
      <w:pPr>
        <w:numPr>
          <w:ilvl w:val="0"/>
          <w:numId w:val="8"/>
        </w:numPr>
        <w:autoSpaceDE w:val="0"/>
        <w:autoSpaceDN w:val="0"/>
        <w:adjustRightInd w:val="0"/>
        <w:jc w:val="both"/>
        <w:rPr>
          <w:rFonts w:ascii="Calibri" w:hAnsi="Calibri" w:cs="Courier New"/>
          <w:szCs w:val="20"/>
        </w:rPr>
      </w:pPr>
      <w:r>
        <w:rPr>
          <w:rFonts w:ascii="Calibri" w:hAnsi="Calibri" w:cs="Courier New"/>
          <w:szCs w:val="20"/>
        </w:rPr>
        <w:t>la(les) discipline(s) de référence ;</w:t>
      </w:r>
    </w:p>
    <w:p>
      <w:pPr>
        <w:numPr>
          <w:ilvl w:val="0"/>
          <w:numId w:val="8"/>
        </w:numPr>
        <w:autoSpaceDE w:val="0"/>
        <w:autoSpaceDN w:val="0"/>
        <w:adjustRightInd w:val="0"/>
        <w:jc w:val="both"/>
        <w:rPr>
          <w:rFonts w:ascii="Calibri" w:hAnsi="Calibri" w:cs="Courier New"/>
          <w:szCs w:val="20"/>
        </w:rPr>
      </w:pPr>
      <w:r>
        <w:rPr>
          <w:rFonts w:ascii="Calibri" w:hAnsi="Calibri" w:cs="Courier New"/>
          <w:szCs w:val="20"/>
        </w:rPr>
        <w:t xml:space="preserve">la description des approches théoriques et de la méthodologie utilisée ; </w:t>
      </w:r>
    </w:p>
    <w:p>
      <w:pPr>
        <w:numPr>
          <w:ilvl w:val="0"/>
          <w:numId w:val="8"/>
        </w:numPr>
        <w:autoSpaceDE w:val="0"/>
        <w:autoSpaceDN w:val="0"/>
        <w:adjustRightInd w:val="0"/>
        <w:jc w:val="both"/>
        <w:rPr>
          <w:rFonts w:ascii="Calibri" w:hAnsi="Calibri" w:cs="Courier New"/>
          <w:szCs w:val="20"/>
        </w:rPr>
      </w:pPr>
      <w:r>
        <w:rPr>
          <w:rFonts w:ascii="Calibri" w:hAnsi="Calibri" w:cs="Courier New"/>
          <w:szCs w:val="20"/>
        </w:rPr>
        <w:t xml:space="preserve">les résultats majeurs apportés par l’étude ; </w:t>
      </w:r>
    </w:p>
    <w:p>
      <w:pPr>
        <w:numPr>
          <w:ilvl w:val="0"/>
          <w:numId w:val="8"/>
        </w:numPr>
        <w:autoSpaceDE w:val="0"/>
        <w:autoSpaceDN w:val="0"/>
        <w:adjustRightInd w:val="0"/>
        <w:jc w:val="both"/>
        <w:rPr>
          <w:rFonts w:ascii="Calibri" w:hAnsi="Calibri" w:cs="Courier New"/>
          <w:szCs w:val="20"/>
        </w:rPr>
      </w:pPr>
      <w:r>
        <w:rPr>
          <w:rFonts w:ascii="Calibri" w:hAnsi="Calibri" w:cs="Courier New"/>
          <w:szCs w:val="20"/>
        </w:rPr>
        <w:t>les éventuelles précautions ou limitations à prendre en considération.</w:t>
      </w:r>
    </w:p>
    <w:p>
      <w:pPr>
        <w:autoSpaceDE w:val="0"/>
        <w:autoSpaceDN w:val="0"/>
        <w:adjustRightInd w:val="0"/>
        <w:ind w:left="720"/>
        <w:jc w:val="both"/>
        <w:rPr>
          <w:rFonts w:ascii="Calibri" w:hAnsi="Calibri" w:cs="Courier New"/>
          <w:szCs w:val="20"/>
        </w:rPr>
      </w:pPr>
    </w:p>
    <w:p>
      <w:pPr>
        <w:autoSpaceDE w:val="0"/>
        <w:autoSpaceDN w:val="0"/>
        <w:adjustRightInd w:val="0"/>
        <w:jc w:val="both"/>
        <w:rPr>
          <w:rFonts w:ascii="Calibri" w:hAnsi="Calibri" w:cs="Courier New"/>
          <w:b/>
          <w:szCs w:val="20"/>
        </w:rPr>
      </w:pPr>
      <w:r>
        <w:rPr>
          <w:rFonts w:ascii="Calibri" w:hAnsi="Calibri" w:cs="Courier New"/>
          <w:b/>
          <w:szCs w:val="20"/>
        </w:rPr>
        <w:t xml:space="preserve">§3  –  Intérêt du mémoire/ TFE pour les politiques scolaires en FW-B </w:t>
      </w:r>
    </w:p>
    <w:p>
      <w:pPr>
        <w:autoSpaceDE w:val="0"/>
        <w:autoSpaceDN w:val="0"/>
        <w:adjustRightInd w:val="0"/>
        <w:jc w:val="both"/>
        <w:rPr>
          <w:rFonts w:ascii="Calibri" w:hAnsi="Calibri" w:cs="Courier New"/>
          <w:szCs w:val="20"/>
        </w:rPr>
      </w:pPr>
      <w:r>
        <w:rPr>
          <w:rFonts w:ascii="Calibri" w:hAnsi="Calibri" w:cs="Courier New"/>
          <w:szCs w:val="20"/>
        </w:rPr>
        <w:t>Le résumé est accompagné d’un second texte de  maximum 3000 caractères espace compris, qui rend compte de la transférabilité des acquis de l’analyse au système éducatif, à savoir aux politiques éducatives  et aux pédagogies en  Fédération Wallonie-Bruxelles. Ce second document explique, de manière argumentée, l’intérêt et l’utilité de cette  étude pour les politiques scolaires.</w:t>
      </w:r>
    </w:p>
    <w:p>
      <w:pPr>
        <w:autoSpaceDE w:val="0"/>
        <w:autoSpaceDN w:val="0"/>
        <w:adjustRightInd w:val="0"/>
        <w:jc w:val="both"/>
        <w:rPr>
          <w:rFonts w:ascii="Calibri" w:hAnsi="Calibri" w:cs="Courier New"/>
          <w:szCs w:val="20"/>
        </w:rPr>
      </w:pPr>
    </w:p>
    <w:p>
      <w:pPr>
        <w:autoSpaceDE w:val="0"/>
        <w:autoSpaceDN w:val="0"/>
        <w:adjustRightInd w:val="0"/>
        <w:jc w:val="both"/>
        <w:rPr>
          <w:rFonts w:ascii="Calibri" w:hAnsi="Calibri" w:cs="Courier New"/>
          <w:szCs w:val="20"/>
        </w:rPr>
      </w:pPr>
      <w:r>
        <w:rPr>
          <w:rFonts w:ascii="Calibri" w:hAnsi="Calibri" w:cs="Courier New"/>
          <w:smallCaps/>
          <w:szCs w:val="20"/>
        </w:rPr>
        <w:t>L’</w:t>
      </w:r>
      <w:r>
        <w:rPr>
          <w:rFonts w:ascii="Calibri" w:hAnsi="Calibri" w:cs="Courier New"/>
          <w:szCs w:val="20"/>
        </w:rPr>
        <w:t xml:space="preserve">AGE attire l’attention de la candidate ou du candidat sur la qualité du résumé et de la justification : </w:t>
      </w:r>
      <w:r>
        <w:rPr>
          <w:rFonts w:ascii="Calibri" w:hAnsi="Calibri" w:cs="Courier New"/>
          <w:szCs w:val="20"/>
          <w:u w:val="single"/>
        </w:rPr>
        <w:t>la présélection des candidatures s’opère exclusivement sur base de ces deux textes</w:t>
      </w:r>
      <w:r>
        <w:rPr>
          <w:rFonts w:ascii="Calibri" w:hAnsi="Calibri" w:cs="Courier New"/>
          <w:szCs w:val="20"/>
        </w:rPr>
        <w:t>.</w:t>
      </w:r>
    </w:p>
    <w:p>
      <w:pPr>
        <w:autoSpaceDE w:val="0"/>
        <w:autoSpaceDN w:val="0"/>
        <w:adjustRightInd w:val="0"/>
        <w:jc w:val="both"/>
        <w:rPr>
          <w:rFonts w:ascii="Calibri" w:hAnsi="Calibri" w:cs="Courier New"/>
          <w:szCs w:val="20"/>
        </w:rPr>
      </w:pPr>
    </w:p>
    <w:p>
      <w:pPr>
        <w:autoSpaceDE w:val="0"/>
        <w:autoSpaceDN w:val="0"/>
        <w:adjustRightInd w:val="0"/>
        <w:jc w:val="both"/>
        <w:rPr>
          <w:rFonts w:ascii="Calibri" w:hAnsi="Calibri" w:cs="Courier New"/>
          <w:b/>
          <w:szCs w:val="20"/>
        </w:rPr>
      </w:pPr>
    </w:p>
    <w:p>
      <w:pPr>
        <w:autoSpaceDE w:val="0"/>
        <w:autoSpaceDN w:val="0"/>
        <w:adjustRightInd w:val="0"/>
        <w:jc w:val="both"/>
        <w:rPr>
          <w:rFonts w:ascii="Calibri" w:hAnsi="Calibri" w:cs="Courier New"/>
          <w:b/>
          <w:szCs w:val="20"/>
        </w:rPr>
      </w:pPr>
      <w:r>
        <w:rPr>
          <w:rFonts w:ascii="Calibri" w:hAnsi="Calibri" w:cs="Courier New"/>
          <w:b/>
          <w:szCs w:val="20"/>
        </w:rPr>
        <w:t>§4 – Transmission du dossier et délai d’introduction des candidatures</w:t>
      </w:r>
    </w:p>
    <w:p>
      <w:pPr>
        <w:autoSpaceDE w:val="0"/>
        <w:autoSpaceDN w:val="0"/>
        <w:adjustRightInd w:val="0"/>
        <w:jc w:val="both"/>
        <w:rPr>
          <w:rFonts w:ascii="Calibri" w:hAnsi="Calibri" w:cs="Courier New"/>
          <w:szCs w:val="20"/>
        </w:rPr>
      </w:pPr>
      <w:r>
        <w:rPr>
          <w:rFonts w:ascii="Calibri" w:hAnsi="Calibri" w:cs="Courier New"/>
          <w:szCs w:val="20"/>
        </w:rPr>
        <w:t>Ces documents seront transmis à l’attention du Service « Qualité et Stratégie » de l’AGE via une application numérique qui permet le transfert aisé de fichiers volumineux.</w:t>
      </w:r>
    </w:p>
    <w:p>
      <w:pPr>
        <w:autoSpaceDE w:val="0"/>
        <w:autoSpaceDN w:val="0"/>
        <w:adjustRightInd w:val="0"/>
        <w:jc w:val="both"/>
        <w:rPr>
          <w:rFonts w:ascii="Calibri" w:hAnsi="Calibri" w:cs="Courier New"/>
          <w:b/>
          <w:szCs w:val="20"/>
        </w:rPr>
      </w:pPr>
    </w:p>
    <w:p>
      <w:pPr>
        <w:autoSpaceDE w:val="0"/>
        <w:autoSpaceDN w:val="0"/>
        <w:adjustRightInd w:val="0"/>
        <w:jc w:val="both"/>
        <w:rPr>
          <w:rFonts w:ascii="Calibri" w:hAnsi="Calibri" w:cs="Courier New"/>
          <w:b/>
          <w:szCs w:val="20"/>
        </w:rPr>
      </w:pPr>
      <w:r>
        <w:rPr>
          <w:rFonts w:ascii="Calibri" w:hAnsi="Calibri" w:cs="Courier New"/>
          <w:szCs w:val="20"/>
        </w:rPr>
        <w:lastRenderedPageBreak/>
        <w:t xml:space="preserve">L’ensemble du dossier doit parvenir, au plus tard, </w:t>
      </w:r>
      <w:r>
        <w:rPr>
          <w:rFonts w:ascii="Calibri" w:hAnsi="Calibri" w:cs="Courier New"/>
          <w:b/>
          <w:szCs w:val="20"/>
        </w:rPr>
        <w:t xml:space="preserve">le </w:t>
      </w:r>
      <w:r>
        <w:rPr>
          <w:rFonts w:ascii="Calibri" w:hAnsi="Calibri" w:cs="Courier New"/>
          <w:szCs w:val="20"/>
        </w:rPr>
        <w:t> </w:t>
      </w:r>
      <w:r>
        <w:rPr>
          <w:rFonts w:ascii="Calibri" w:hAnsi="Calibri" w:cs="Courier New"/>
          <w:b/>
          <w:szCs w:val="20"/>
        </w:rPr>
        <w:t>04 octobre 2019 – 16h</w:t>
      </w:r>
      <w:r>
        <w:rPr>
          <w:rFonts w:ascii="Calibri" w:hAnsi="Calibri" w:cs="Courier New"/>
          <w:szCs w:val="20"/>
        </w:rPr>
        <w:t>, à l’attention de Madame l’Administratrice générale l de l’Enseignement, à l’adresse suivante : age.straqua@cfwb.be</w:t>
      </w:r>
    </w:p>
    <w:p>
      <w:pPr>
        <w:autoSpaceDE w:val="0"/>
        <w:autoSpaceDN w:val="0"/>
        <w:adjustRightInd w:val="0"/>
        <w:jc w:val="both"/>
        <w:rPr>
          <w:rFonts w:ascii="Calibri" w:hAnsi="Calibri" w:cs="Courier New"/>
          <w:szCs w:val="20"/>
        </w:rPr>
      </w:pPr>
    </w:p>
    <w:p>
      <w:pPr>
        <w:autoSpaceDE w:val="0"/>
        <w:autoSpaceDN w:val="0"/>
        <w:adjustRightInd w:val="0"/>
        <w:jc w:val="both"/>
        <w:rPr>
          <w:rFonts w:ascii="Calibri" w:hAnsi="Calibri" w:cs="Courier New"/>
          <w:szCs w:val="20"/>
        </w:rPr>
      </w:pPr>
      <w:r>
        <w:rPr>
          <w:rFonts w:ascii="Calibri" w:hAnsi="Calibri" w:cs="Courier New"/>
          <w:szCs w:val="20"/>
        </w:rPr>
        <w:t xml:space="preserve">Un accusé de réception des documents est envoyé aux candidats et candidates, par courriel, au plus tard le </w:t>
      </w:r>
      <w:r>
        <w:rPr>
          <w:rFonts w:ascii="Calibri" w:hAnsi="Calibri" w:cs="Courier New"/>
          <w:b/>
          <w:szCs w:val="20"/>
        </w:rPr>
        <w:t> 11 octobre 2019.</w:t>
      </w:r>
      <w:r>
        <w:rPr>
          <w:rFonts w:ascii="Calibri" w:hAnsi="Calibri" w:cs="Courier New"/>
          <w:szCs w:val="20"/>
        </w:rPr>
        <w:t xml:space="preserve"> En cas de non-réception de cet accusé, la candidate ou le candidat est </w:t>
      </w:r>
      <w:proofErr w:type="spellStart"/>
      <w:r>
        <w:rPr>
          <w:rFonts w:ascii="Calibri" w:hAnsi="Calibri" w:cs="Courier New"/>
          <w:szCs w:val="20"/>
        </w:rPr>
        <w:t>invité-e</w:t>
      </w:r>
      <w:proofErr w:type="spellEnd"/>
      <w:r>
        <w:rPr>
          <w:rFonts w:ascii="Calibri" w:hAnsi="Calibri" w:cs="Courier New"/>
          <w:szCs w:val="20"/>
        </w:rPr>
        <w:t xml:space="preserve"> à prendre contact avec le Service « Qualité et Stratégie » : age.straqua@cfwb.be</w:t>
      </w:r>
    </w:p>
    <w:p>
      <w:pPr>
        <w:autoSpaceDE w:val="0"/>
        <w:autoSpaceDN w:val="0"/>
        <w:adjustRightInd w:val="0"/>
        <w:jc w:val="both"/>
        <w:rPr>
          <w:rFonts w:ascii="Calibri" w:hAnsi="Calibri" w:cs="Courier New"/>
          <w:szCs w:val="20"/>
        </w:rPr>
      </w:pPr>
    </w:p>
    <w:p>
      <w:pPr>
        <w:autoSpaceDE w:val="0"/>
        <w:autoSpaceDN w:val="0"/>
        <w:adjustRightInd w:val="0"/>
        <w:rPr>
          <w:rFonts w:ascii="Calibri" w:hAnsi="Calibri" w:cs="Courier New"/>
          <w:szCs w:val="20"/>
        </w:rPr>
      </w:pPr>
    </w:p>
    <w:p>
      <w:pPr>
        <w:autoSpaceDE w:val="0"/>
        <w:autoSpaceDN w:val="0"/>
        <w:adjustRightInd w:val="0"/>
        <w:rPr>
          <w:rFonts w:ascii="Calibri" w:hAnsi="Calibri" w:cs="Courier New"/>
          <w:b/>
        </w:rPr>
      </w:pPr>
    </w:p>
    <w:p>
      <w:pPr>
        <w:autoSpaceDE w:val="0"/>
        <w:autoSpaceDN w:val="0"/>
        <w:adjustRightInd w:val="0"/>
        <w:jc w:val="center"/>
        <w:rPr>
          <w:rFonts w:ascii="Calibri" w:hAnsi="Calibri" w:cs="Courier New"/>
          <w:b/>
        </w:rPr>
      </w:pPr>
      <w:r>
        <w:rPr>
          <w:rFonts w:ascii="Calibri" w:hAnsi="Calibri" w:cs="Courier New"/>
          <w:b/>
        </w:rPr>
        <w:t xml:space="preserve">Chapitre troisième : </w:t>
      </w:r>
    </w:p>
    <w:p>
      <w:pPr>
        <w:autoSpaceDE w:val="0"/>
        <w:autoSpaceDN w:val="0"/>
        <w:adjustRightInd w:val="0"/>
        <w:jc w:val="center"/>
        <w:rPr>
          <w:rFonts w:ascii="Calibri" w:hAnsi="Calibri" w:cs="Courier New"/>
          <w:b/>
        </w:rPr>
      </w:pPr>
      <w:r>
        <w:rPr>
          <w:rFonts w:ascii="Calibri" w:hAnsi="Calibri" w:cs="Courier New"/>
          <w:b/>
        </w:rPr>
        <w:t xml:space="preserve">jury, critères, information, droits </w:t>
      </w:r>
    </w:p>
    <w:p>
      <w:pPr>
        <w:autoSpaceDE w:val="0"/>
        <w:autoSpaceDN w:val="0"/>
        <w:adjustRightInd w:val="0"/>
        <w:jc w:val="both"/>
        <w:rPr>
          <w:rFonts w:ascii="Calibri" w:hAnsi="Calibri" w:cs="Courier New"/>
          <w:szCs w:val="20"/>
        </w:rPr>
      </w:pPr>
    </w:p>
    <w:p>
      <w:pPr>
        <w:autoSpaceDE w:val="0"/>
        <w:autoSpaceDN w:val="0"/>
        <w:adjustRightInd w:val="0"/>
        <w:jc w:val="both"/>
        <w:rPr>
          <w:rFonts w:ascii="Calibri" w:hAnsi="Calibri" w:cs="Courier New"/>
          <w:szCs w:val="20"/>
        </w:rPr>
      </w:pPr>
    </w:p>
    <w:p>
      <w:pPr>
        <w:autoSpaceDE w:val="0"/>
        <w:autoSpaceDN w:val="0"/>
        <w:adjustRightInd w:val="0"/>
        <w:jc w:val="both"/>
        <w:rPr>
          <w:rFonts w:ascii="Calibri" w:hAnsi="Calibri" w:cs="Courier New"/>
          <w:szCs w:val="20"/>
        </w:rPr>
      </w:pPr>
    </w:p>
    <w:p>
      <w:pPr>
        <w:autoSpaceDE w:val="0"/>
        <w:autoSpaceDN w:val="0"/>
        <w:adjustRightInd w:val="0"/>
        <w:jc w:val="both"/>
        <w:rPr>
          <w:rFonts w:ascii="Calibri" w:hAnsi="Calibri" w:cs="Courier New"/>
          <w:b/>
          <w:szCs w:val="20"/>
        </w:rPr>
      </w:pPr>
      <w:r>
        <w:rPr>
          <w:rFonts w:ascii="Calibri" w:hAnsi="Calibri" w:cs="Courier New"/>
          <w:b/>
          <w:szCs w:val="20"/>
        </w:rPr>
        <w:t>Article 7 –  Jury de sélection</w:t>
      </w:r>
    </w:p>
    <w:p>
      <w:pPr>
        <w:autoSpaceDE w:val="0"/>
        <w:autoSpaceDN w:val="0"/>
        <w:adjustRightInd w:val="0"/>
        <w:jc w:val="both"/>
        <w:rPr>
          <w:rFonts w:ascii="Calibri" w:hAnsi="Calibri" w:cs="Courier New"/>
          <w:szCs w:val="20"/>
        </w:rPr>
      </w:pPr>
    </w:p>
    <w:p>
      <w:pPr>
        <w:autoSpaceDE w:val="0"/>
        <w:autoSpaceDN w:val="0"/>
        <w:adjustRightInd w:val="0"/>
        <w:jc w:val="both"/>
        <w:rPr>
          <w:rFonts w:ascii="Calibri" w:hAnsi="Calibri" w:cs="Courier New"/>
          <w:szCs w:val="20"/>
        </w:rPr>
      </w:pPr>
      <w:r>
        <w:rPr>
          <w:rFonts w:ascii="Calibri" w:hAnsi="Calibri" w:cs="Courier New"/>
          <w:szCs w:val="20"/>
        </w:rPr>
        <w:t>Un Jury départage les travaux reçus ; il  est composé de :</w:t>
      </w:r>
    </w:p>
    <w:p>
      <w:pPr>
        <w:numPr>
          <w:ilvl w:val="0"/>
          <w:numId w:val="15"/>
        </w:numPr>
        <w:autoSpaceDE w:val="0"/>
        <w:autoSpaceDN w:val="0"/>
        <w:adjustRightInd w:val="0"/>
        <w:jc w:val="both"/>
        <w:rPr>
          <w:rFonts w:ascii="Calibri" w:hAnsi="Calibri" w:cs="Courier New"/>
          <w:szCs w:val="20"/>
        </w:rPr>
      </w:pPr>
      <w:r>
        <w:rPr>
          <w:rFonts w:ascii="Calibri" w:hAnsi="Calibri" w:cs="Courier New"/>
          <w:szCs w:val="20"/>
        </w:rPr>
        <w:t>membres académiques d’établissements d’enseignement supérieur/institutions de deuxième cycle de la Fédération Wallonie-Bruxelles ;</w:t>
      </w:r>
    </w:p>
    <w:p>
      <w:pPr>
        <w:numPr>
          <w:ilvl w:val="0"/>
          <w:numId w:val="15"/>
        </w:numPr>
        <w:autoSpaceDE w:val="0"/>
        <w:autoSpaceDN w:val="0"/>
        <w:adjustRightInd w:val="0"/>
        <w:jc w:val="both"/>
        <w:rPr>
          <w:rFonts w:ascii="Calibri" w:hAnsi="Calibri" w:cs="Courier New"/>
          <w:szCs w:val="20"/>
        </w:rPr>
      </w:pPr>
      <w:r>
        <w:rPr>
          <w:rFonts w:ascii="Calibri" w:hAnsi="Calibri" w:cs="Courier New"/>
          <w:szCs w:val="20"/>
        </w:rPr>
        <w:t>représentants de l’Administration générale de l’Enseignement : Direction générale de l’Enseignement obligatoire, Direction générale de l’Enseignement non obligatoire et de la Recherche scientifique, Direction générale du Pilotage du Système éducatif et Direction d’appui de l’Administratrice générale.</w:t>
      </w:r>
    </w:p>
    <w:p>
      <w:pPr>
        <w:autoSpaceDE w:val="0"/>
        <w:autoSpaceDN w:val="0"/>
        <w:adjustRightInd w:val="0"/>
        <w:jc w:val="both"/>
        <w:rPr>
          <w:rFonts w:ascii="Calibri" w:hAnsi="Calibri" w:cs="Courier New"/>
          <w:szCs w:val="20"/>
        </w:rPr>
      </w:pPr>
    </w:p>
    <w:p>
      <w:pPr>
        <w:autoSpaceDE w:val="0"/>
        <w:autoSpaceDN w:val="0"/>
        <w:adjustRightInd w:val="0"/>
        <w:jc w:val="both"/>
        <w:rPr>
          <w:rFonts w:ascii="Calibri" w:hAnsi="Calibri" w:cs="Courier New"/>
          <w:szCs w:val="20"/>
        </w:rPr>
      </w:pPr>
      <w:r>
        <w:rPr>
          <w:rFonts w:ascii="Calibri" w:hAnsi="Calibri" w:cs="Courier New"/>
          <w:szCs w:val="20"/>
        </w:rPr>
        <w:t xml:space="preserve">Le Jury se réunit autant de fois qu’il le juge nécessaire et arrête sa décision d’attribution du prix. Il est souverain dans ses délibérations ainsi que pour toute interprétation relative à l’application du présent règlement. </w:t>
      </w:r>
    </w:p>
    <w:p>
      <w:pPr>
        <w:autoSpaceDE w:val="0"/>
        <w:autoSpaceDN w:val="0"/>
        <w:adjustRightInd w:val="0"/>
        <w:jc w:val="both"/>
        <w:rPr>
          <w:rFonts w:ascii="Calibri" w:hAnsi="Calibri" w:cs="Courier New"/>
          <w:szCs w:val="20"/>
        </w:rPr>
      </w:pPr>
    </w:p>
    <w:p>
      <w:pPr>
        <w:autoSpaceDE w:val="0"/>
        <w:autoSpaceDN w:val="0"/>
        <w:adjustRightInd w:val="0"/>
        <w:jc w:val="both"/>
        <w:rPr>
          <w:rFonts w:ascii="Calibri" w:hAnsi="Calibri" w:cs="Courier New"/>
          <w:b/>
          <w:szCs w:val="20"/>
        </w:rPr>
      </w:pPr>
      <w:r>
        <w:rPr>
          <w:rFonts w:ascii="Calibri" w:hAnsi="Calibri" w:cs="Courier New"/>
          <w:b/>
          <w:szCs w:val="20"/>
        </w:rPr>
        <w:t>Article 8 – Critères de sélection</w:t>
      </w:r>
    </w:p>
    <w:p>
      <w:pPr>
        <w:autoSpaceDE w:val="0"/>
        <w:autoSpaceDN w:val="0"/>
        <w:adjustRightInd w:val="0"/>
        <w:jc w:val="both"/>
        <w:rPr>
          <w:rFonts w:ascii="Calibri" w:hAnsi="Calibri" w:cs="Courier New"/>
          <w:szCs w:val="20"/>
        </w:rPr>
      </w:pPr>
    </w:p>
    <w:p>
      <w:pPr>
        <w:autoSpaceDE w:val="0"/>
        <w:autoSpaceDN w:val="0"/>
        <w:adjustRightInd w:val="0"/>
        <w:jc w:val="both"/>
        <w:rPr>
          <w:rFonts w:ascii="Calibri" w:hAnsi="Calibri" w:cs="Courier New"/>
          <w:szCs w:val="20"/>
        </w:rPr>
      </w:pPr>
      <w:r>
        <w:rPr>
          <w:rFonts w:ascii="Calibri" w:hAnsi="Calibri" w:cs="Courier New"/>
          <w:szCs w:val="20"/>
        </w:rPr>
        <w:t>Différents aspects du dossier de candidature sont pris en considération par le jury, pour la sélection de la lauréate ou du lauréat du prix du mémoire de l’AGE. A savoir :</w:t>
      </w:r>
    </w:p>
    <w:p>
      <w:pPr>
        <w:numPr>
          <w:ilvl w:val="0"/>
          <w:numId w:val="14"/>
        </w:numPr>
        <w:autoSpaceDE w:val="0"/>
        <w:autoSpaceDN w:val="0"/>
        <w:adjustRightInd w:val="0"/>
        <w:jc w:val="both"/>
        <w:rPr>
          <w:rFonts w:ascii="Calibri" w:hAnsi="Calibri" w:cs="Courier New"/>
          <w:szCs w:val="20"/>
        </w:rPr>
      </w:pPr>
      <w:r>
        <w:rPr>
          <w:rFonts w:ascii="Calibri" w:hAnsi="Calibri" w:cs="Courier New"/>
          <w:szCs w:val="20"/>
        </w:rPr>
        <w:t xml:space="preserve">l’originalité du choix du sujet et de son traitement ;  </w:t>
      </w:r>
    </w:p>
    <w:p>
      <w:pPr>
        <w:numPr>
          <w:ilvl w:val="0"/>
          <w:numId w:val="14"/>
        </w:numPr>
        <w:autoSpaceDE w:val="0"/>
        <w:autoSpaceDN w:val="0"/>
        <w:adjustRightInd w:val="0"/>
        <w:jc w:val="both"/>
        <w:rPr>
          <w:rFonts w:ascii="Calibri" w:hAnsi="Calibri" w:cs="Courier New"/>
          <w:szCs w:val="20"/>
        </w:rPr>
      </w:pPr>
      <w:r>
        <w:rPr>
          <w:rFonts w:ascii="Calibri" w:hAnsi="Calibri" w:cs="Courier New"/>
          <w:szCs w:val="20"/>
        </w:rPr>
        <w:t>l’intérêt, la pertinence et les retombées potentielles de ce travail en regard des questions et enjeux qui traversent aujourd’hui les politiques et les pratiques scolaires en Fédération Wallonie-Bruxelles ;</w:t>
      </w:r>
    </w:p>
    <w:p>
      <w:pPr>
        <w:numPr>
          <w:ilvl w:val="0"/>
          <w:numId w:val="14"/>
        </w:numPr>
        <w:autoSpaceDE w:val="0"/>
        <w:autoSpaceDN w:val="0"/>
        <w:adjustRightInd w:val="0"/>
        <w:jc w:val="both"/>
        <w:rPr>
          <w:rFonts w:ascii="Calibri" w:hAnsi="Calibri" w:cs="Courier New"/>
          <w:szCs w:val="20"/>
        </w:rPr>
      </w:pPr>
      <w:r>
        <w:rPr>
          <w:rFonts w:ascii="Calibri" w:hAnsi="Calibri" w:cs="Courier New"/>
          <w:szCs w:val="20"/>
        </w:rPr>
        <w:t xml:space="preserve">le cadre théorique et la rigueur méthodologique : </w:t>
      </w:r>
    </w:p>
    <w:p>
      <w:pPr>
        <w:numPr>
          <w:ilvl w:val="0"/>
          <w:numId w:val="14"/>
        </w:numPr>
        <w:autoSpaceDE w:val="0"/>
        <w:autoSpaceDN w:val="0"/>
        <w:adjustRightInd w:val="0"/>
        <w:jc w:val="both"/>
        <w:rPr>
          <w:rFonts w:ascii="Calibri" w:hAnsi="Calibri" w:cs="Courier New"/>
          <w:szCs w:val="20"/>
        </w:rPr>
      </w:pPr>
      <w:r>
        <w:rPr>
          <w:rFonts w:ascii="Calibri" w:hAnsi="Calibri" w:cs="Courier New"/>
          <w:szCs w:val="20"/>
        </w:rPr>
        <w:t xml:space="preserve">l’adéquation des outils en regard de la question posée et le souci de faire progresser les questions méthodologiques relatives à l’objet d’étude ; </w:t>
      </w:r>
    </w:p>
    <w:p>
      <w:pPr>
        <w:numPr>
          <w:ilvl w:val="0"/>
          <w:numId w:val="14"/>
        </w:numPr>
        <w:autoSpaceDE w:val="0"/>
        <w:autoSpaceDN w:val="0"/>
        <w:adjustRightInd w:val="0"/>
        <w:jc w:val="both"/>
        <w:rPr>
          <w:rFonts w:ascii="Calibri" w:hAnsi="Calibri" w:cs="Courier New"/>
          <w:szCs w:val="20"/>
        </w:rPr>
      </w:pPr>
      <w:r>
        <w:rPr>
          <w:rFonts w:ascii="Calibri" w:hAnsi="Calibri" w:cs="Courier New"/>
          <w:szCs w:val="20"/>
        </w:rPr>
        <w:t>la qualité de l’analyse et la robustesse des résultats obtenus.</w:t>
      </w:r>
    </w:p>
    <w:p>
      <w:pPr>
        <w:autoSpaceDE w:val="0"/>
        <w:autoSpaceDN w:val="0"/>
        <w:adjustRightInd w:val="0"/>
        <w:jc w:val="both"/>
        <w:rPr>
          <w:rFonts w:ascii="Calibri" w:hAnsi="Calibri" w:cs="Courier New"/>
          <w:szCs w:val="20"/>
        </w:rPr>
      </w:pPr>
    </w:p>
    <w:p>
      <w:pPr>
        <w:autoSpaceDE w:val="0"/>
        <w:autoSpaceDN w:val="0"/>
        <w:adjustRightInd w:val="0"/>
        <w:jc w:val="both"/>
        <w:rPr>
          <w:rFonts w:ascii="Calibri" w:hAnsi="Calibri" w:cs="Courier New"/>
          <w:b/>
          <w:szCs w:val="20"/>
        </w:rPr>
      </w:pPr>
    </w:p>
    <w:p>
      <w:pPr>
        <w:autoSpaceDE w:val="0"/>
        <w:autoSpaceDN w:val="0"/>
        <w:adjustRightInd w:val="0"/>
        <w:jc w:val="both"/>
        <w:rPr>
          <w:rFonts w:ascii="Calibri" w:hAnsi="Calibri" w:cs="Courier New"/>
          <w:b/>
          <w:szCs w:val="20"/>
        </w:rPr>
      </w:pPr>
    </w:p>
    <w:p>
      <w:pPr>
        <w:autoSpaceDE w:val="0"/>
        <w:autoSpaceDN w:val="0"/>
        <w:adjustRightInd w:val="0"/>
        <w:jc w:val="both"/>
        <w:rPr>
          <w:rFonts w:ascii="Calibri" w:hAnsi="Calibri" w:cs="Courier New"/>
          <w:b/>
          <w:szCs w:val="20"/>
        </w:rPr>
      </w:pPr>
    </w:p>
    <w:p>
      <w:pPr>
        <w:autoSpaceDE w:val="0"/>
        <w:autoSpaceDN w:val="0"/>
        <w:adjustRightInd w:val="0"/>
        <w:jc w:val="both"/>
        <w:rPr>
          <w:rFonts w:ascii="Calibri" w:hAnsi="Calibri" w:cs="Courier New"/>
          <w:b/>
          <w:szCs w:val="20"/>
        </w:rPr>
      </w:pPr>
    </w:p>
    <w:p>
      <w:pPr>
        <w:autoSpaceDE w:val="0"/>
        <w:autoSpaceDN w:val="0"/>
        <w:adjustRightInd w:val="0"/>
        <w:jc w:val="both"/>
        <w:rPr>
          <w:rFonts w:ascii="Calibri" w:hAnsi="Calibri" w:cs="Courier New"/>
          <w:b/>
          <w:szCs w:val="20"/>
        </w:rPr>
      </w:pPr>
      <w:r>
        <w:rPr>
          <w:rFonts w:ascii="Calibri" w:hAnsi="Calibri" w:cs="Courier New"/>
          <w:b/>
          <w:szCs w:val="20"/>
        </w:rPr>
        <w:lastRenderedPageBreak/>
        <w:t>Article 9 – Information des candidats</w:t>
      </w:r>
    </w:p>
    <w:p>
      <w:pPr>
        <w:autoSpaceDE w:val="0"/>
        <w:autoSpaceDN w:val="0"/>
        <w:adjustRightInd w:val="0"/>
        <w:jc w:val="both"/>
        <w:rPr>
          <w:rFonts w:ascii="Calibri" w:hAnsi="Calibri" w:cs="Courier New"/>
          <w:szCs w:val="20"/>
        </w:rPr>
      </w:pPr>
    </w:p>
    <w:p>
      <w:pPr>
        <w:autoSpaceDE w:val="0"/>
        <w:autoSpaceDN w:val="0"/>
        <w:adjustRightInd w:val="0"/>
        <w:jc w:val="both"/>
        <w:rPr>
          <w:rFonts w:ascii="Calibri" w:hAnsi="Calibri" w:cs="Courier New"/>
          <w:szCs w:val="20"/>
        </w:rPr>
      </w:pPr>
      <w:r>
        <w:rPr>
          <w:rFonts w:ascii="Calibri" w:hAnsi="Calibri" w:cs="Courier New"/>
          <w:szCs w:val="20"/>
        </w:rPr>
        <w:t xml:space="preserve">L’AGE informe les candidats et les candidates de la décision d’attribution du prix du mémoire de l’AGE, par courrier ou par courriel, au plus tard </w:t>
      </w:r>
      <w:r>
        <w:rPr>
          <w:rFonts w:ascii="Calibri" w:hAnsi="Calibri" w:cs="Courier New"/>
          <w:b/>
          <w:szCs w:val="20"/>
        </w:rPr>
        <w:t> le 18 novembre 2019.</w:t>
      </w:r>
    </w:p>
    <w:p>
      <w:pPr>
        <w:autoSpaceDE w:val="0"/>
        <w:autoSpaceDN w:val="0"/>
        <w:adjustRightInd w:val="0"/>
        <w:jc w:val="both"/>
        <w:rPr>
          <w:rFonts w:ascii="Calibri" w:hAnsi="Calibri" w:cs="Courier New"/>
          <w:szCs w:val="20"/>
        </w:rPr>
      </w:pPr>
    </w:p>
    <w:p>
      <w:pPr>
        <w:autoSpaceDE w:val="0"/>
        <w:autoSpaceDN w:val="0"/>
        <w:adjustRightInd w:val="0"/>
        <w:jc w:val="both"/>
        <w:rPr>
          <w:rFonts w:ascii="Calibri" w:hAnsi="Calibri" w:cs="Courier New"/>
          <w:b/>
          <w:szCs w:val="20"/>
        </w:rPr>
      </w:pPr>
    </w:p>
    <w:p>
      <w:pPr>
        <w:autoSpaceDE w:val="0"/>
        <w:autoSpaceDN w:val="0"/>
        <w:adjustRightInd w:val="0"/>
        <w:jc w:val="both"/>
        <w:rPr>
          <w:rFonts w:ascii="Calibri" w:hAnsi="Calibri" w:cs="Courier New"/>
          <w:b/>
          <w:szCs w:val="20"/>
        </w:rPr>
      </w:pPr>
      <w:r>
        <w:rPr>
          <w:rFonts w:ascii="Calibri" w:hAnsi="Calibri" w:cs="Courier New"/>
          <w:b/>
          <w:szCs w:val="20"/>
        </w:rPr>
        <w:t xml:space="preserve">Article 10 – Droits d’auteur </w:t>
      </w:r>
    </w:p>
    <w:p>
      <w:pPr>
        <w:autoSpaceDE w:val="0"/>
        <w:autoSpaceDN w:val="0"/>
        <w:adjustRightInd w:val="0"/>
        <w:jc w:val="both"/>
        <w:rPr>
          <w:rFonts w:ascii="Calibri" w:hAnsi="Calibri" w:cs="Courier New"/>
          <w:szCs w:val="20"/>
        </w:rPr>
      </w:pPr>
    </w:p>
    <w:p>
      <w:pPr>
        <w:autoSpaceDE w:val="0"/>
        <w:autoSpaceDN w:val="0"/>
        <w:jc w:val="both"/>
        <w:rPr>
          <w:rFonts w:ascii="Calibri" w:hAnsi="Calibri" w:cs="Courier New"/>
          <w:szCs w:val="20"/>
        </w:rPr>
      </w:pPr>
      <w:r>
        <w:rPr>
          <w:rFonts w:ascii="Calibri" w:hAnsi="Calibri" w:cs="Courier New"/>
          <w:szCs w:val="20"/>
        </w:rPr>
        <w:t xml:space="preserve">Par son inscription, la candidate ou le candidat accepte que la Fédération Wallonie-Bruxelles communique au sujet de l’attribution du prix et autorise le dépôt de son mémoire/TFE ainsi que le texte de sa communication sur le site internet de l’AGE ainsi que sur le répertoire </w:t>
      </w:r>
      <w:proofErr w:type="spellStart"/>
      <w:r>
        <w:rPr>
          <w:rFonts w:ascii="Calibri" w:hAnsi="Calibri" w:cs="Courier New"/>
          <w:szCs w:val="20"/>
        </w:rPr>
        <w:t>RéFéR</w:t>
      </w:r>
      <w:proofErr w:type="spellEnd"/>
      <w:r>
        <w:rPr>
          <w:rFonts w:ascii="Calibri" w:hAnsi="Calibri" w:cs="Courier New"/>
          <w:szCs w:val="20"/>
        </w:rPr>
        <w:t xml:space="preserve"> du Ministère de la FWB.</w:t>
      </w:r>
    </w:p>
    <w:p>
      <w:pPr>
        <w:autoSpaceDE w:val="0"/>
        <w:autoSpaceDN w:val="0"/>
        <w:adjustRightInd w:val="0"/>
        <w:jc w:val="both"/>
        <w:rPr>
          <w:rFonts w:ascii="Calibri" w:hAnsi="Calibri" w:cs="Courier New"/>
          <w:szCs w:val="20"/>
        </w:rPr>
      </w:pPr>
    </w:p>
    <w:p>
      <w:pPr>
        <w:autoSpaceDE w:val="0"/>
        <w:autoSpaceDN w:val="0"/>
        <w:adjustRightInd w:val="0"/>
        <w:jc w:val="both"/>
        <w:rPr>
          <w:rFonts w:ascii="Calibri" w:hAnsi="Calibri" w:cs="Courier New"/>
          <w:szCs w:val="20"/>
        </w:rPr>
      </w:pPr>
      <w:r>
        <w:rPr>
          <w:rFonts w:ascii="Calibri" w:hAnsi="Calibri" w:cs="Courier New"/>
          <w:szCs w:val="20"/>
        </w:rPr>
        <w:t xml:space="preserve">La Fédération Wallonie-Bruxelles garantit la propriété du travail de </w:t>
      </w:r>
      <w:r>
        <w:rPr>
          <w:rFonts w:ascii="Calibri" w:hAnsi="Calibri" w:cs="Courier New"/>
          <w:szCs w:val="20"/>
          <w:u w:val="single"/>
        </w:rPr>
        <w:t>l’auteur ou l’auteure</w:t>
      </w:r>
      <w:r>
        <w:rPr>
          <w:rFonts w:ascii="Calibri" w:hAnsi="Calibri" w:cs="Courier New"/>
          <w:szCs w:val="20"/>
        </w:rPr>
        <w:t xml:space="preserve"> et se réserve, le cas échéant, la possibilité de reproduire et de diffuser, avec l’accord de celui-ci ou celle-ci, tout ou partie du mémoire ou du TFE primé. </w:t>
      </w:r>
    </w:p>
    <w:p>
      <w:pPr>
        <w:autoSpaceDE w:val="0"/>
        <w:autoSpaceDN w:val="0"/>
        <w:adjustRightInd w:val="0"/>
        <w:jc w:val="both"/>
        <w:rPr>
          <w:rFonts w:ascii="Calibri" w:hAnsi="Calibri" w:cs="Courier New"/>
          <w:szCs w:val="20"/>
        </w:rPr>
      </w:pPr>
    </w:p>
    <w:p>
      <w:pPr>
        <w:autoSpaceDE w:val="0"/>
        <w:autoSpaceDN w:val="0"/>
        <w:adjustRightInd w:val="0"/>
        <w:jc w:val="both"/>
        <w:rPr>
          <w:rFonts w:ascii="Calibri" w:hAnsi="Calibri" w:cs="Courier New"/>
          <w:szCs w:val="20"/>
        </w:rPr>
      </w:pPr>
      <w:r>
        <w:rPr>
          <w:rFonts w:ascii="Calibri" w:hAnsi="Calibri" w:cs="Courier New"/>
          <w:szCs w:val="20"/>
        </w:rPr>
        <w:t>La Fédération Wallonie-Bruxelles peut éventuellement en assurer une publication, sous les diverses formes  et le mettre en ligne, avec l’accord de l’auteure ou de l’auteur.</w:t>
      </w:r>
    </w:p>
    <w:p>
      <w:pPr>
        <w:autoSpaceDE w:val="0"/>
        <w:autoSpaceDN w:val="0"/>
        <w:adjustRightInd w:val="0"/>
        <w:jc w:val="both"/>
        <w:rPr>
          <w:rFonts w:ascii="Calibri" w:hAnsi="Calibri" w:cs="Courier New"/>
          <w:szCs w:val="20"/>
        </w:rPr>
      </w:pPr>
      <w:r>
        <w:rPr>
          <w:rFonts w:ascii="Calibri" w:hAnsi="Calibri" w:cs="Courier New"/>
          <w:szCs w:val="20"/>
        </w:rPr>
        <w:t xml:space="preserve"> </w:t>
      </w:r>
    </w:p>
    <w:p>
      <w:pPr>
        <w:rPr>
          <w:rFonts w:ascii="Calibri" w:hAnsi="Calibri" w:cs="Courier New"/>
          <w:szCs w:val="20"/>
        </w:rPr>
      </w:pPr>
    </w:p>
    <w:p>
      <w:pPr>
        <w:autoSpaceDE w:val="0"/>
        <w:autoSpaceDN w:val="0"/>
        <w:adjustRightInd w:val="0"/>
        <w:jc w:val="both"/>
        <w:rPr>
          <w:rFonts w:ascii="Calibri" w:hAnsi="Calibri" w:cs="Courier New"/>
          <w:b/>
          <w:szCs w:val="20"/>
        </w:rPr>
      </w:pPr>
      <w:r>
        <w:rPr>
          <w:rFonts w:ascii="Calibri" w:hAnsi="Calibri" w:cs="Courier New"/>
          <w:b/>
          <w:szCs w:val="20"/>
        </w:rPr>
        <w:t>Article 11 – Acceptation</w:t>
      </w:r>
    </w:p>
    <w:p>
      <w:pPr>
        <w:autoSpaceDE w:val="0"/>
        <w:autoSpaceDN w:val="0"/>
        <w:adjustRightInd w:val="0"/>
        <w:jc w:val="both"/>
        <w:rPr>
          <w:rFonts w:ascii="Calibri" w:hAnsi="Calibri" w:cs="Courier New"/>
          <w:b/>
          <w:szCs w:val="20"/>
        </w:rPr>
      </w:pPr>
    </w:p>
    <w:p>
      <w:pPr>
        <w:autoSpaceDE w:val="0"/>
        <w:autoSpaceDN w:val="0"/>
        <w:adjustRightInd w:val="0"/>
        <w:jc w:val="both"/>
        <w:rPr>
          <w:rFonts w:ascii="Calibri" w:hAnsi="Calibri" w:cs="Courier New"/>
          <w:b/>
          <w:szCs w:val="20"/>
        </w:rPr>
      </w:pPr>
      <w:r>
        <w:rPr>
          <w:rFonts w:ascii="Calibri" w:hAnsi="Calibri" w:cs="Courier New"/>
          <w:szCs w:val="20"/>
        </w:rPr>
        <w:t>Le dépôt d’une candidature vaut acceptation du règlement du concours.</w:t>
      </w:r>
      <w:r>
        <w:rPr>
          <w:rFonts w:ascii="Calibri" w:hAnsi="Calibri" w:cs="Courier New"/>
          <w:b/>
          <w:szCs w:val="20"/>
        </w:rPr>
        <w:t xml:space="preserve"> </w:t>
      </w:r>
    </w:p>
    <w:p>
      <w:pPr>
        <w:rPr>
          <w:rFonts w:ascii="Calibri" w:hAnsi="Calibri" w:cs="Courier New"/>
          <w:szCs w:val="20"/>
        </w:rPr>
      </w:pPr>
    </w:p>
    <w:p>
      <w:pPr>
        <w:rPr>
          <w:rFonts w:ascii="Calibri" w:hAnsi="Calibri" w:cs="Courier New"/>
          <w:szCs w:val="20"/>
        </w:rPr>
      </w:pPr>
    </w:p>
    <w:p>
      <w:pPr>
        <w:rPr>
          <w:rFonts w:ascii="Calibri" w:hAnsi="Calibri" w:cs="Courier New"/>
          <w:szCs w:val="20"/>
        </w:rPr>
      </w:pPr>
    </w:p>
    <w:sectPr>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UI-Bold">
    <w:altName w:val="Cambria"/>
    <w:panose1 w:val="00000000000000000000"/>
    <w:charset w:val="00"/>
    <w:family w:val="swiss"/>
    <w:notTrueType/>
    <w:pitch w:val="default"/>
    <w:sig w:usb0="00000003" w:usb1="00000000" w:usb2="00000000" w:usb3="00000000" w:csb0="00000001" w:csb1="00000000"/>
  </w:font>
  <w:font w:name="SegoeUI">
    <w:altName w:val="Cambri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pPr>
      <w:pStyle w:val="Pieddepage"/>
      <w:ind w:right="360"/>
      <w:jc w:val="righ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jc w:val="center"/>
    </w:pPr>
    <w:r>
      <w:t>Prix du mémoire en éducation – Année académique 2018-2019</w:t>
    </w:r>
  </w:p>
  <w:p>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id="1">
    <w:p>
      <w:pPr>
        <w:pStyle w:val="Notedebasdepage"/>
        <w:jc w:val="both"/>
      </w:pPr>
      <w:r>
        <w:rPr>
          <w:rStyle w:val="Appelnotedebasdep"/>
        </w:rPr>
        <w:footnoteRef/>
      </w:r>
      <w:r>
        <w:t xml:space="preserve"> </w:t>
      </w:r>
      <w:r>
        <w:rPr>
          <w:rFonts w:ascii="Verdana" w:hAnsi="Verdana"/>
          <w:sz w:val="16"/>
          <w:szCs w:val="16"/>
        </w:rPr>
        <w:t xml:space="preserve">L’expression « Fédération Wallonie-Bruxelles » désigne la « Communauté française de Belgique » visée par la loi </w:t>
      </w:r>
      <w:r>
        <w:rPr>
          <w:rFonts w:ascii="Verdana" w:hAnsi="Verdana"/>
          <w:sz w:val="16"/>
          <w:szCs w:val="16"/>
          <w:lang w:val="fr-BE"/>
        </w:rPr>
        <w:t xml:space="preserve">spéciale de réformes institutionnelles du 8 août </w:t>
      </w:r>
      <w:smartTag w:uri="urn:schemas-microsoft-com:office:smarttags" w:element="metricconverter">
        <w:smartTagPr>
          <w:attr w:name="ProductID" w:val="1980, M"/>
        </w:smartTagPr>
        <w:r>
          <w:rPr>
            <w:rFonts w:ascii="Verdana" w:hAnsi="Verdana"/>
            <w:sz w:val="16"/>
            <w:szCs w:val="16"/>
            <w:lang w:val="fr-BE"/>
          </w:rPr>
          <w:t xml:space="preserve">1980, </w:t>
        </w:r>
        <w:r>
          <w:rPr>
            <w:rFonts w:ascii="Verdana" w:hAnsi="Verdana"/>
            <w:i/>
            <w:sz w:val="16"/>
            <w:szCs w:val="16"/>
            <w:u w:val="single"/>
            <w:lang w:val="fr-BE"/>
          </w:rPr>
          <w:t>M</w:t>
        </w:r>
      </w:smartTag>
      <w:r>
        <w:rPr>
          <w:rFonts w:ascii="Verdana" w:hAnsi="Verdana"/>
          <w:i/>
          <w:sz w:val="16"/>
          <w:szCs w:val="16"/>
          <w:u w:val="single"/>
          <w:lang w:val="fr-BE"/>
        </w:rPr>
        <w:t>.B</w:t>
      </w:r>
      <w:r>
        <w:rPr>
          <w:rFonts w:ascii="Verdana" w:hAnsi="Verdana"/>
          <w:i/>
          <w:sz w:val="16"/>
          <w:szCs w:val="16"/>
          <w:lang w:val="fr-BE"/>
        </w:rPr>
        <w:t>.</w:t>
      </w:r>
      <w:r>
        <w:rPr>
          <w:rFonts w:ascii="Verdana" w:hAnsi="Verdana"/>
          <w:sz w:val="16"/>
          <w:szCs w:val="16"/>
          <w:lang w:val="fr-BE"/>
        </w:rPr>
        <w:t>, 15-08-1980.</w:t>
      </w:r>
    </w:p>
  </w:footnote>
  <w:footnote w:id="2">
    <w:p>
      <w:pPr>
        <w:pStyle w:val="Notedebasdepage"/>
        <w:jc w:val="both"/>
      </w:pPr>
      <w:r>
        <w:rPr>
          <w:rStyle w:val="Appelnotedebasdep"/>
        </w:rPr>
        <w:footnoteRef/>
      </w:r>
      <w:r>
        <w:t xml:space="preserve"> </w:t>
      </w:r>
      <w:r>
        <w:rPr>
          <w:rFonts w:ascii="Verdana" w:hAnsi="Verdana" w:cs="Courier New"/>
          <w:sz w:val="16"/>
          <w:szCs w:val="16"/>
        </w:rPr>
        <w:t xml:space="preserve">Sans mention qui permette d’identifier le ou la candidate, le ou </w:t>
      </w:r>
      <w:proofErr w:type="gramStart"/>
      <w:r>
        <w:rPr>
          <w:rFonts w:ascii="Verdana" w:hAnsi="Verdana" w:cs="Courier New"/>
          <w:sz w:val="16"/>
          <w:szCs w:val="16"/>
        </w:rPr>
        <w:t>la</w:t>
      </w:r>
      <w:proofErr w:type="gramEnd"/>
      <w:r>
        <w:rPr>
          <w:rFonts w:ascii="Verdana" w:hAnsi="Verdana" w:cs="Courier New"/>
          <w:sz w:val="16"/>
          <w:szCs w:val="16"/>
        </w:rPr>
        <w:t xml:space="preserve"> promoteur-</w:t>
      </w:r>
      <w:proofErr w:type="spellStart"/>
      <w:r>
        <w:rPr>
          <w:rFonts w:ascii="Verdana" w:hAnsi="Verdana" w:cs="Courier New"/>
          <w:sz w:val="16"/>
          <w:szCs w:val="16"/>
        </w:rPr>
        <w:t>trice</w:t>
      </w:r>
      <w:proofErr w:type="spellEnd"/>
      <w:r>
        <w:rPr>
          <w:rFonts w:ascii="Verdana" w:hAnsi="Verdana" w:cs="Courier New"/>
          <w:sz w:val="16"/>
          <w:szCs w:val="16"/>
        </w:rPr>
        <w:t xml:space="preserve"> du mémoire/TFE ou l’établissement d’enseignement supérieur.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jc w:val="center"/>
      <w:rPr>
        <w:rFonts w:ascii="Garamond" w:hAnsi="Garamond"/>
        <w:sz w:val="16"/>
        <w:szCs w:val="16"/>
      </w:rPr>
    </w:pPr>
    <w:r>
      <w:rPr>
        <w:rFonts w:ascii="Garamond" w:hAnsi="Garamond"/>
        <w:sz w:val="16"/>
        <w:szCs w:val="16"/>
      </w:rPr>
      <w:t>Fédération Wallonie-Bruxelles - Administration générale de l’Enseignement – Règlement  2018-2019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A3612"/>
    <w:multiLevelType w:val="hybridMultilevel"/>
    <w:tmpl w:val="FDD0B33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25F0D60"/>
    <w:multiLevelType w:val="hybridMultilevel"/>
    <w:tmpl w:val="BF661F48"/>
    <w:lvl w:ilvl="0" w:tplc="6704690E">
      <w:start w:val="6"/>
      <w:numFmt w:val="bullet"/>
      <w:lvlText w:val="-"/>
      <w:lvlJc w:val="left"/>
      <w:pPr>
        <w:tabs>
          <w:tab w:val="num" w:pos="720"/>
        </w:tabs>
        <w:ind w:left="720" w:hanging="360"/>
      </w:pPr>
      <w:rPr>
        <w:rFonts w:ascii="Calibri" w:eastAsia="Times New Roman" w:hAnsi="Calibri"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 w15:restartNumberingAfterBreak="0">
    <w:nsid w:val="1D8D5B5B"/>
    <w:multiLevelType w:val="hybridMultilevel"/>
    <w:tmpl w:val="F858F66C"/>
    <w:lvl w:ilvl="0" w:tplc="FF84EF94">
      <w:numFmt w:val="bullet"/>
      <w:lvlText w:val="-"/>
      <w:lvlJc w:val="left"/>
      <w:pPr>
        <w:tabs>
          <w:tab w:val="num" w:pos="720"/>
        </w:tabs>
        <w:ind w:left="720" w:hanging="360"/>
      </w:pPr>
      <w:rPr>
        <w:rFonts w:ascii="Corbel" w:eastAsia="Times New Roman" w:hAnsi="Corbe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FA2679"/>
    <w:multiLevelType w:val="hybridMultilevel"/>
    <w:tmpl w:val="E854674C"/>
    <w:lvl w:ilvl="0" w:tplc="924CECA2">
      <w:numFmt w:val="bullet"/>
      <w:lvlText w:val="-"/>
      <w:lvlJc w:val="left"/>
      <w:pPr>
        <w:tabs>
          <w:tab w:val="num" w:pos="720"/>
        </w:tabs>
        <w:ind w:left="720" w:hanging="360"/>
      </w:pPr>
      <w:rPr>
        <w:rFonts w:ascii="Calibri" w:eastAsia="Times New Roman" w:hAnsi="Calibri"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0D5631"/>
    <w:multiLevelType w:val="hybridMultilevel"/>
    <w:tmpl w:val="D85A99AA"/>
    <w:lvl w:ilvl="0" w:tplc="FF84EF94">
      <w:numFmt w:val="bullet"/>
      <w:lvlText w:val="-"/>
      <w:lvlJc w:val="left"/>
      <w:pPr>
        <w:tabs>
          <w:tab w:val="num" w:pos="720"/>
        </w:tabs>
        <w:ind w:left="720" w:hanging="360"/>
      </w:pPr>
      <w:rPr>
        <w:rFonts w:ascii="Corbel" w:eastAsia="Times New Roman" w:hAnsi="Corbe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5D4E0C"/>
    <w:multiLevelType w:val="hybridMultilevel"/>
    <w:tmpl w:val="A04E8238"/>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AB62632"/>
    <w:multiLevelType w:val="hybridMultilevel"/>
    <w:tmpl w:val="F2E6ED3C"/>
    <w:lvl w:ilvl="0" w:tplc="FF84EF94">
      <w:numFmt w:val="bullet"/>
      <w:lvlText w:val="-"/>
      <w:lvlJc w:val="left"/>
      <w:pPr>
        <w:tabs>
          <w:tab w:val="num" w:pos="720"/>
        </w:tabs>
        <w:ind w:left="720" w:hanging="360"/>
      </w:pPr>
      <w:rPr>
        <w:rFonts w:ascii="Corbel" w:eastAsia="Times New Roman" w:hAnsi="Corbe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8C19AE"/>
    <w:multiLevelType w:val="hybridMultilevel"/>
    <w:tmpl w:val="CC3C93C0"/>
    <w:lvl w:ilvl="0" w:tplc="FF84EF94">
      <w:numFmt w:val="bullet"/>
      <w:lvlText w:val="-"/>
      <w:lvlJc w:val="left"/>
      <w:pPr>
        <w:tabs>
          <w:tab w:val="num" w:pos="720"/>
        </w:tabs>
        <w:ind w:left="720" w:hanging="360"/>
      </w:pPr>
      <w:rPr>
        <w:rFonts w:ascii="Corbel" w:eastAsia="Times New Roman" w:hAnsi="Corbe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2F5491"/>
    <w:multiLevelType w:val="hybridMultilevel"/>
    <w:tmpl w:val="E934032C"/>
    <w:lvl w:ilvl="0" w:tplc="FF84EF94">
      <w:numFmt w:val="bullet"/>
      <w:lvlText w:val="-"/>
      <w:lvlJc w:val="left"/>
      <w:pPr>
        <w:tabs>
          <w:tab w:val="num" w:pos="720"/>
        </w:tabs>
        <w:ind w:left="720" w:hanging="360"/>
      </w:pPr>
      <w:rPr>
        <w:rFonts w:ascii="Corbel" w:eastAsia="Times New Roman" w:hAnsi="Corbe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F635C7"/>
    <w:multiLevelType w:val="hybridMultilevel"/>
    <w:tmpl w:val="A3F0C3C6"/>
    <w:lvl w:ilvl="0" w:tplc="FF84EF94">
      <w:numFmt w:val="bullet"/>
      <w:lvlText w:val="-"/>
      <w:lvlJc w:val="left"/>
      <w:pPr>
        <w:tabs>
          <w:tab w:val="num" w:pos="720"/>
        </w:tabs>
        <w:ind w:left="720" w:hanging="360"/>
      </w:pPr>
      <w:rPr>
        <w:rFonts w:ascii="Corbel" w:eastAsia="Times New Roman" w:hAnsi="Corbe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0F711B"/>
    <w:multiLevelType w:val="hybridMultilevel"/>
    <w:tmpl w:val="D4A66648"/>
    <w:lvl w:ilvl="0" w:tplc="FF84EF94">
      <w:numFmt w:val="bullet"/>
      <w:lvlText w:val="-"/>
      <w:lvlJc w:val="left"/>
      <w:pPr>
        <w:tabs>
          <w:tab w:val="num" w:pos="360"/>
        </w:tabs>
        <w:ind w:left="360" w:hanging="360"/>
      </w:pPr>
      <w:rPr>
        <w:rFonts w:ascii="Corbel" w:eastAsia="Times New Roman" w:hAnsi="Corbe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DFF56FF"/>
    <w:multiLevelType w:val="hybridMultilevel"/>
    <w:tmpl w:val="85465EF8"/>
    <w:lvl w:ilvl="0" w:tplc="FF84EF94">
      <w:numFmt w:val="bullet"/>
      <w:lvlText w:val="-"/>
      <w:lvlJc w:val="left"/>
      <w:pPr>
        <w:tabs>
          <w:tab w:val="num" w:pos="360"/>
        </w:tabs>
        <w:ind w:left="360" w:hanging="360"/>
      </w:pPr>
      <w:rPr>
        <w:rFonts w:ascii="Corbel" w:eastAsia="Times New Roman" w:hAnsi="Corbe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F382A0B"/>
    <w:multiLevelType w:val="hybridMultilevel"/>
    <w:tmpl w:val="C10A4C2A"/>
    <w:lvl w:ilvl="0" w:tplc="D8ACBCDC">
      <w:start w:val="3"/>
      <w:numFmt w:val="bullet"/>
      <w:lvlText w:val="-"/>
      <w:lvlJc w:val="left"/>
      <w:pPr>
        <w:tabs>
          <w:tab w:val="num" w:pos="720"/>
        </w:tabs>
        <w:ind w:left="720" w:hanging="360"/>
      </w:pPr>
      <w:rPr>
        <w:rFonts w:ascii="Calibri" w:eastAsia="Times New Roman" w:hAnsi="Calibri"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1709AF"/>
    <w:multiLevelType w:val="hybridMultilevel"/>
    <w:tmpl w:val="657E2CBA"/>
    <w:lvl w:ilvl="0" w:tplc="5BAEBF52">
      <w:start w:val="4"/>
      <w:numFmt w:val="bullet"/>
      <w:lvlText w:val="-"/>
      <w:lvlJc w:val="left"/>
      <w:pPr>
        <w:tabs>
          <w:tab w:val="num" w:pos="720"/>
        </w:tabs>
        <w:ind w:left="720" w:hanging="360"/>
      </w:pPr>
      <w:rPr>
        <w:rFonts w:ascii="Calibri" w:eastAsia="Times New Roman" w:hAnsi="Calibri"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065CA2"/>
    <w:multiLevelType w:val="hybridMultilevel"/>
    <w:tmpl w:val="D97893A2"/>
    <w:lvl w:ilvl="0" w:tplc="FF84EF94">
      <w:numFmt w:val="bullet"/>
      <w:lvlText w:val="-"/>
      <w:lvlJc w:val="left"/>
      <w:pPr>
        <w:tabs>
          <w:tab w:val="num" w:pos="720"/>
        </w:tabs>
        <w:ind w:left="720" w:hanging="360"/>
      </w:pPr>
      <w:rPr>
        <w:rFonts w:ascii="Corbel" w:eastAsia="Times New Roman" w:hAnsi="Corbe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
  </w:num>
  <w:num w:numId="7">
    <w:abstractNumId w:val="7"/>
  </w:num>
  <w:num w:numId="8">
    <w:abstractNumId w:val="4"/>
  </w:num>
  <w:num w:numId="9">
    <w:abstractNumId w:val="8"/>
  </w:num>
  <w:num w:numId="10">
    <w:abstractNumId w:val="6"/>
  </w:num>
  <w:num w:numId="11">
    <w:abstractNumId w:val="14"/>
  </w:num>
  <w:num w:numId="12">
    <w:abstractNumId w:val="9"/>
  </w:num>
  <w:num w:numId="13">
    <w:abstractNumId w:val="2"/>
  </w:num>
  <w:num w:numId="14">
    <w:abstractNumId w:val="11"/>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CB4616E8-4D72-465C-B4CA-83523F042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Pr>
      <w:rFonts w:cs="Times New Roman"/>
      <w:color w:val="0000FF"/>
      <w:u w:val="single"/>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Pr>
      <w:sz w:val="24"/>
      <w:szCs w:val="24"/>
      <w:lang w:val="fr-FR" w:eastAsia="fr-FR"/>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rPr>
      <w:sz w:val="24"/>
      <w:szCs w:val="24"/>
      <w:lang w:val="fr-FR" w:eastAsia="fr-FR"/>
    </w:rPr>
  </w:style>
  <w:style w:type="character" w:styleId="Numrodepage">
    <w:name w:val="page number"/>
    <w:basedOn w:val="Policepardfaut"/>
    <w:uiPriority w:val="99"/>
    <w:rPr>
      <w:rFonts w:cs="Times New Roman"/>
    </w:rPr>
  </w:style>
  <w:style w:type="paragraph" w:styleId="Notedebasdepage">
    <w:name w:val="footnote text"/>
    <w:basedOn w:val="Normal"/>
    <w:link w:val="NotedebasdepageCar"/>
    <w:uiPriority w:val="99"/>
    <w:semiHidden/>
    <w:rPr>
      <w:sz w:val="20"/>
      <w:szCs w:val="20"/>
    </w:rPr>
  </w:style>
  <w:style w:type="character" w:customStyle="1" w:styleId="NotedebasdepageCar">
    <w:name w:val="Note de bas de page Car"/>
    <w:basedOn w:val="Policepardfaut"/>
    <w:link w:val="Notedebasdepage"/>
    <w:uiPriority w:val="99"/>
    <w:semiHidden/>
    <w:rPr>
      <w:sz w:val="20"/>
      <w:szCs w:val="20"/>
      <w:lang w:val="fr-FR" w:eastAsia="fr-FR"/>
    </w:rPr>
  </w:style>
  <w:style w:type="character" w:styleId="Appelnotedebasdep">
    <w:name w:val="footnote reference"/>
    <w:basedOn w:val="Policepardfaut"/>
    <w:uiPriority w:val="99"/>
    <w:semiHidden/>
    <w:rPr>
      <w:rFonts w:cs="Times New Roman"/>
      <w:vertAlign w:val="superscript"/>
    </w:rPr>
  </w:style>
  <w:style w:type="paragraph" w:styleId="Textedebulles">
    <w:name w:val="Balloon Text"/>
    <w:basedOn w:val="Normal"/>
    <w:link w:val="TextedebullesCar"/>
    <w:uiPriority w:val="99"/>
    <w:semiHidden/>
    <w:rPr>
      <w:rFonts w:ascii="Tahoma" w:hAnsi="Tahoma" w:cs="Tahoma"/>
      <w:sz w:val="16"/>
      <w:szCs w:val="16"/>
    </w:rPr>
  </w:style>
  <w:style w:type="character" w:customStyle="1" w:styleId="TextedebullesCar">
    <w:name w:val="Texte de bulles Car"/>
    <w:basedOn w:val="Policepardfaut"/>
    <w:link w:val="Textedebulles"/>
    <w:uiPriority w:val="99"/>
    <w:semiHidden/>
    <w:rPr>
      <w:sz w:val="0"/>
      <w:szCs w:val="0"/>
      <w:lang w:val="fr-FR" w:eastAsia="fr-FR"/>
    </w:rPr>
  </w:style>
  <w:style w:type="paragraph" w:styleId="Paragraphedeliste">
    <w:name w:val="List Paragraph"/>
    <w:basedOn w:val="Normal"/>
    <w:uiPriority w:val="34"/>
    <w:qFormat/>
    <w:pPr>
      <w:ind w:left="720"/>
      <w:contextualSpacing/>
    </w:p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sz w:val="20"/>
      <w:szCs w:val="20"/>
      <w:lang w:val="fr-FR" w:eastAsia="fr-FR"/>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lang w:val="fr-FR" w:eastAsia="fr-FR"/>
    </w:rPr>
  </w:style>
  <w:style w:type="paragraph" w:styleId="NormalWeb">
    <w:name w:val="Normal (Web)"/>
    <w:basedOn w:val="Normal"/>
    <w:uiPriority w:val="99"/>
    <w:unhideWhenUsed/>
    <w:rPr>
      <w:rFonts w:eastAsia="Calibri"/>
      <w:lang w:val="fr-BE" w:eastAsia="fr-BE"/>
    </w:rPr>
  </w:style>
  <w:style w:type="character" w:styleId="lev">
    <w:name w:val="Strong"/>
    <w:basedOn w:val="Policepardfaut"/>
    <w:uiPriority w:val="22"/>
    <w:qFormat/>
    <w:lock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907169">
      <w:bodyDiv w:val="1"/>
      <w:marLeft w:val="0"/>
      <w:marRight w:val="0"/>
      <w:marTop w:val="0"/>
      <w:marBottom w:val="0"/>
      <w:divBdr>
        <w:top w:val="none" w:sz="0" w:space="0" w:color="auto"/>
        <w:left w:val="none" w:sz="0" w:space="0" w:color="auto"/>
        <w:bottom w:val="none" w:sz="0" w:space="0" w:color="auto"/>
        <w:right w:val="none" w:sz="0" w:space="0" w:color="auto"/>
      </w:divBdr>
    </w:div>
    <w:div w:id="1557624099">
      <w:marLeft w:val="0"/>
      <w:marRight w:val="0"/>
      <w:marTop w:val="0"/>
      <w:marBottom w:val="0"/>
      <w:divBdr>
        <w:top w:val="none" w:sz="0" w:space="0" w:color="auto"/>
        <w:left w:val="none" w:sz="0" w:space="0" w:color="auto"/>
        <w:bottom w:val="none" w:sz="0" w:space="0" w:color="auto"/>
        <w:right w:val="none" w:sz="0" w:space="0" w:color="auto"/>
      </w:divBdr>
    </w:div>
    <w:div w:id="1557624100">
      <w:marLeft w:val="0"/>
      <w:marRight w:val="0"/>
      <w:marTop w:val="0"/>
      <w:marBottom w:val="0"/>
      <w:divBdr>
        <w:top w:val="none" w:sz="0" w:space="0" w:color="auto"/>
        <w:left w:val="none" w:sz="0" w:space="0" w:color="auto"/>
        <w:bottom w:val="none" w:sz="0" w:space="0" w:color="auto"/>
        <w:right w:val="none" w:sz="0" w:space="0" w:color="auto"/>
      </w:divBdr>
    </w:div>
    <w:div w:id="1557624101">
      <w:marLeft w:val="0"/>
      <w:marRight w:val="0"/>
      <w:marTop w:val="0"/>
      <w:marBottom w:val="0"/>
      <w:divBdr>
        <w:top w:val="none" w:sz="0" w:space="0" w:color="auto"/>
        <w:left w:val="none" w:sz="0" w:space="0" w:color="auto"/>
        <w:bottom w:val="none" w:sz="0" w:space="0" w:color="auto"/>
        <w:right w:val="none" w:sz="0" w:space="0" w:color="auto"/>
      </w:divBdr>
    </w:div>
    <w:div w:id="162839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seignement.be/index.php?page=2813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nseignement.be" TargetMode="External"/><Relationship Id="rId4" Type="http://schemas.openxmlformats.org/officeDocument/2006/relationships/settings" Target="settings.xml"/><Relationship Id="rId9" Type="http://schemas.openxmlformats.org/officeDocument/2006/relationships/hyperlink" Target="http://www.federation-wallonie-bruxelles.b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F5C6B8-73E0-4C54-B76E-9B0888F88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1656</Words>
  <Characters>9112</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Prix mémoire de l’OPC</vt:lpstr>
    </vt:vector>
  </TitlesOfParts>
  <Company>ETNIC</Company>
  <LinksUpToDate>false</LinksUpToDate>
  <CharactersWithSpaces>10747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Prix mémoire de l’OPC</dc:title>
  <dc:creator>ETNIC</dc:creator>
  <cp:lastModifiedBy>LIBERTIAUX Geoffroy</cp:lastModifiedBy>
  <cp:revision>18</cp:revision>
  <cp:lastPrinted>2018-05-07T12:26:00Z</cp:lastPrinted>
  <dcterms:created xsi:type="dcterms:W3CDTF">2019-02-08T15:45:00Z</dcterms:created>
  <dcterms:modified xsi:type="dcterms:W3CDTF">2019-03-13T12:31:00Z</dcterms:modified>
</cp:coreProperties>
</file>